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1744"/>
        <w:gridCol w:w="1701"/>
        <w:gridCol w:w="1701"/>
        <w:gridCol w:w="2693"/>
      </w:tblGrid>
      <w:tr w:rsidR="00270FCF" w:rsidRPr="00270FCF" w:rsidTr="00605DA7">
        <w:tc>
          <w:tcPr>
            <w:tcW w:w="9647" w:type="dxa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Default="00270FCF" w:rsidP="00270FCF">
            <w:pPr>
              <w:ind w:lef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0FCF" w:rsidRPr="007F1E30" w:rsidRDefault="00270FCF" w:rsidP="00270FCF">
            <w:pPr>
              <w:ind w:left="180"/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  <w:r w:rsidRPr="007F1E30">
              <w:rPr>
                <w:b/>
                <w:bCs/>
                <w:color w:val="C00000"/>
                <w:sz w:val="28"/>
                <w:szCs w:val="28"/>
                <w:lang w:val="uk-UA"/>
              </w:rPr>
              <w:t>ЛЕКЦІЇ</w:t>
            </w:r>
          </w:p>
          <w:p w:rsidR="00270FCF" w:rsidRPr="00270FCF" w:rsidRDefault="00270FCF" w:rsidP="00270FC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5ED3" w:rsidRPr="00270FCF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rPr>
                <w:lang w:val="uk-UA"/>
              </w:rPr>
            </w:pPr>
            <w:r w:rsidRPr="00270FCF">
              <w:rPr>
                <w:b/>
                <w:bCs/>
                <w:lang w:val="uk-UA"/>
              </w:rPr>
              <w:t xml:space="preserve">  Теми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Якість вищої освіти і загальні принципи її забезпечення у країнах ЄС.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Стандарти і рекомендації щодо забезпечення якості вищої освіти у країнах ЄС.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Методологія забезпечення якості вищої освіти у країнах ЄС.</w:t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Експертна діяльність в освіті у країнах ЄС: цілі, завдання, зміст, об’єкти і суб’єкти.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Нормативно-правові засади забезпечення якості вищої освіти: досвід ЄС.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Внутрішній моніторинг якості вищої освіти у країнах ЄС.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Зовнішній моніторинг якості вищої освіти у країнах ЄС.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Експертиза інновацій для забезпечення якості вищої освіти.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Лідерство і функціонування освітніх систем для забезпечення  якості вищої освіти.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Австрійської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Бельгія.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Болгарія.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Хорватія.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Данія.</w:t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Естонія.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Фінляндської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Французької Республіки.</w:t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Федеративної Республіки Німеччини.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Грецької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Італійської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Угорщина.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Ірландія.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Литовської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Нідерландів.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Польща.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Португальської Республіки.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Румунії.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Словенія.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Іспанія.</w:t>
            </w:r>
            <w:r w:rsidRPr="00270FCF">
              <w:rPr>
                <w:lang w:val="uk-UA"/>
              </w:rPr>
              <w:tab/>
            </w:r>
          </w:p>
          <w:p w:rsidR="00BD71BE" w:rsidRPr="00270FCF" w:rsidRDefault="00BD71BE" w:rsidP="006B7715">
            <w:pPr>
              <w:pStyle w:val="affa"/>
              <w:numPr>
                <w:ilvl w:val="0"/>
                <w:numId w:val="2"/>
              </w:numPr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Сполученого Королівства Великої Британії та Північної Ірландії.</w:t>
            </w:r>
            <w:r w:rsidRPr="00270FCF">
              <w:rPr>
                <w:lang w:val="uk-UA"/>
              </w:rPr>
              <w:tab/>
            </w:r>
          </w:p>
          <w:p w:rsidR="00CD5ED3" w:rsidRPr="00270FCF" w:rsidRDefault="00CD5ED3" w:rsidP="00270FCF">
            <w:pPr>
              <w:tabs>
                <w:tab w:val="left" w:pos="1134"/>
              </w:tabs>
              <w:ind w:left="360"/>
              <w:contextualSpacing/>
              <w:jc w:val="both"/>
              <w:rPr>
                <w:lang w:val="uk-UA"/>
              </w:rPr>
            </w:pPr>
          </w:p>
        </w:tc>
      </w:tr>
      <w:tr w:rsidR="00CD5ED3" w:rsidRPr="00270FCF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BD71BE" w:rsidP="00270FCF">
            <w:pPr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t>Викладач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BD71BE" w:rsidP="00270FCF">
            <w:pPr>
              <w:ind w:left="180"/>
              <w:rPr>
                <w:lang w:val="uk-UA"/>
              </w:rPr>
            </w:pPr>
            <w:r w:rsidRPr="00270FCF">
              <w:rPr>
                <w:b/>
                <w:lang w:val="uk-UA"/>
              </w:rPr>
              <w:t>Батечко Н.Г.,</w:t>
            </w:r>
            <w:r w:rsidRPr="00270FCF">
              <w:rPr>
                <w:lang w:val="uk-UA"/>
              </w:rPr>
              <w:t xml:space="preserve"> док.пед.н., доцент</w:t>
            </w:r>
          </w:p>
          <w:p w:rsidR="009061DA" w:rsidRPr="00270FCF" w:rsidRDefault="009061DA" w:rsidP="00270FCF">
            <w:pPr>
              <w:ind w:left="180"/>
              <w:rPr>
                <w:lang w:val="uk-UA"/>
              </w:rPr>
            </w:pPr>
          </w:p>
        </w:tc>
      </w:tr>
      <w:tr w:rsidR="00CD5ED3" w:rsidRPr="00270FCF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rPr>
                <w:b/>
              </w:rPr>
            </w:pPr>
          </w:p>
          <w:p w:rsidR="00CD5ED3" w:rsidRPr="00270FCF" w:rsidRDefault="009061DA" w:rsidP="00270FCF">
            <w:pPr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t xml:space="preserve">     Опис</w:t>
            </w:r>
          </w:p>
          <w:p w:rsidR="00CD5ED3" w:rsidRPr="00270FCF" w:rsidRDefault="00CD5ED3" w:rsidP="00270FCF">
            <w:pPr>
              <w:rPr>
                <w:b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tbl>
            <w:tblPr>
              <w:tblStyle w:val="afa"/>
              <w:tblW w:w="7693" w:type="dxa"/>
              <w:tblLayout w:type="fixed"/>
              <w:tblLook w:val="04A0"/>
            </w:tblPr>
            <w:tblGrid>
              <w:gridCol w:w="534"/>
              <w:gridCol w:w="2623"/>
              <w:gridCol w:w="4536"/>
            </w:tblGrid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b/>
                      <w:lang w:val="uk-UA"/>
                    </w:rPr>
                  </w:pPr>
                  <w:r w:rsidRPr="00270FCF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jc w:val="center"/>
                    <w:rPr>
                      <w:b/>
                      <w:lang w:val="uk-UA"/>
                    </w:rPr>
                  </w:pPr>
                  <w:r w:rsidRPr="00270FCF">
                    <w:rPr>
                      <w:b/>
                      <w:lang w:val="uk-UA"/>
                    </w:rPr>
                    <w:t>Тема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270FCF">
                  <w:pPr>
                    <w:jc w:val="center"/>
                    <w:rPr>
                      <w:b/>
                      <w:lang w:val="uk-UA"/>
                    </w:rPr>
                  </w:pPr>
                  <w:r w:rsidRPr="00270FCF">
                    <w:rPr>
                      <w:b/>
                      <w:lang w:val="uk-UA"/>
                    </w:rPr>
                    <w:t>План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Якість вищої освіти і загальні принципи її забезпечення у країнах ЄС.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Визначення понять «якість», «якість освіти», «якість вищої освіти», «якість освітньої діяльності».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Різні аспекти якості вищої освіти: якість знань, якість навчання, результати освітньої діяльності.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Внутрішні та зовнішні компоненти якості вищої освіти.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Управління якістю вищої </w:t>
                  </w:r>
                  <w:r w:rsidRPr="00270FCF">
                    <w:rPr>
                      <w:lang w:val="uk-UA"/>
                    </w:rPr>
                    <w:lastRenderedPageBreak/>
                    <w:t xml:space="preserve">освіти у країнах ЄС.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Нові підходи до процесу забезпечення якості сучасної вищої освіти в країнах ЄС.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Стандарти і рекомендації щодо забезпечення якості вищої освіти у країнах ЄС.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Контекст, сфера, дії, цілі та принципи.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Стандарти і рекомендації щодо внутрішнього забезпечення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Стандарти і рекомендації щодо зовнішнього забезпечення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Стандарти і рекомендації щодо агенцій із забезпечення якості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Огляд стандартів із забезпечення якості вищої освіти.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</w:p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Методологія забезпечення якості вищої освіти у країнах ЄС.</w:t>
                  </w:r>
                </w:p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«Цикл якості», або чотири етапи процесу забезпечення якості: планування; впровадження, оцінювання; перегляд.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Методи забезпечення якості вищої освіти: опитування; аналіз документації; спостереження; інтерв’ю; використання існуючих статистичних даних.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Показники / критерії якості вищої освіти: стан матеріально-технічної бази навчального закладу; якість інфраструктури; якість викладацького складу; якість навчальних програм; якість студентів; якість знань; інноваційна активність керівництва; впровадження інновацій; затребуваність випускників; досягнення випускників.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Внутрішні та зовнішні процедури забезпечення якості: самооцінювання; інспекції, акредитація, ліцензування, сертифікація; вебсайт; міжінституційні опитування студентів; рейтингування.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Механізми зворотного зв’язку. Відкритий доступ до результатів оцінки.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Експертна діяльність в освіті у країнах ЄС: цілі, завдання, зміст, об’єкти і суб’єкти.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Зміст поняття «експертиза», «експертиза в освіті» та «експертна діяльність в освіті».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Сутність та зміст експертної діяльності.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Цілі експертної діяльності у вищій освіті.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Головні завдання експертної діяльності у вищій освіті, їх типи.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Об’єкти та суб’єкти експертизи у вищій освіті. 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Нормативно-правові </w:t>
                  </w:r>
                  <w:r w:rsidRPr="00270FCF">
                    <w:rPr>
                      <w:lang w:val="uk-UA"/>
                    </w:rPr>
                    <w:lastRenderedPageBreak/>
                    <w:t>засади забезпечення якості вищої освіти: досвід ЄС.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 xml:space="preserve">Документи ЄС щодо </w:t>
                  </w:r>
                  <w:r w:rsidRPr="00270FCF">
                    <w:rPr>
                      <w:lang w:val="uk-UA"/>
                    </w:rPr>
                    <w:lastRenderedPageBreak/>
                    <w:t>забезпечення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Роль Болонської декларації у забезпеченні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процедури ліцензування.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процедури акредитації.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Аналіз нормативно-правової бази сучасного розвитку системи вищої освіти України в контексті проблеми інтеграції в європейське співтовариство.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6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Внутрішній моніторинг якості вищої освіти у країнах ЄС.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Порівняльний, пролонгований, констатувальний, діагностуючий і прогнозуючий характери внутрішнього моніторингу якості вищої освіти.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Ефективність внутрішнього моніторингу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Використання рейтингу в моніторингових дослідженнях.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Технології моніторингу якості освітнього процесу у вищих навчальних закладах.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Вимоги, функції, методи моніторингу якості вищої освіти. 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Зовнішній моніторинг якості вищої освіти у країнах ЄС.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Класифікації пакетів показників якості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Індикатори якості освіти Організації економічного співробітництва і розвитку (ОЕСР).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Показники якості освіти, що використовуються ЮНЕСКО.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Індикатори ООН щодо рівня людського розвитку. Індекс людського розвитку.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Освітні індикатори, рекомендовані Радою з освіти Європейського Союзу. 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Експертиза інновацій для забезпечення якості вищої освіти.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Інноваційна діяльність у вищій освіті: параметри аналізу та оцінювання.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Типи і види експертизи інноваційної діяльності.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Методи вибору і прогнозування інноваційних процесів у вищій освіті, критерії їх ефективності.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Експертні оцінки в інноваційній педагогічній діяльності. 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Критерії оцінювання інноваційних освітніх проектів.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Лідерство і функціонування освітніх систем для забезпечення  якості вищої освіти.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ru-RU"/>
                    </w:rPr>
                    <w:t>Роль університету у розвитку лідерського потенціалу суспільства</w:t>
                  </w:r>
                  <w:r w:rsidRPr="00270FCF">
                    <w:rPr>
                      <w:lang w:val="uk-UA"/>
                    </w:rPr>
                    <w:t>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Світова науково-дослідна інфраструктура порівняльних досліджень у галузі вищої освіти.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Системи освіти європейських країн (на прикладі Великої Британії, Франції, Німеччини, Швеції).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Освітня політика Європейського Союзу.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міжнародних організацій у галузі проведення компаративістських досліджень з освіти.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Австрійської Республіки.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Австрії.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Австрії.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в Австрії.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Австрії.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Австрії.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11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Королівства Бельгія.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Бельгії.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Бельгії.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Бельгії.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Бельгії.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Бельгії.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Болгарія.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Болгарії.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Болгарії.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Болгарії.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Болгарії.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Болгарії.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Хорватія.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Хорватії.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Хорватії.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Процедура зовнішнього забезпечення якості вищої освіти у </w:t>
                  </w:r>
                  <w:r w:rsidRPr="00270FCF">
                    <w:rPr>
                      <w:lang w:val="uk-UA"/>
                    </w:rPr>
                    <w:lastRenderedPageBreak/>
                    <w:t>Хорватії.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Хорватії.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Хорватії.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14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Королівства Данія.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Данії.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Данії.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Данії.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Данії.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Данії.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Естонія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Естонії.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Естонії.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в Естонії.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Естонії.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Естонії.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Фінляндської Республіки.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Фінляндії.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Фінляндії.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Фінляндії.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Фінляндії.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Фінляндії.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17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Французької Республіки.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Франції.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Франції.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Франції.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Франції.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Франції.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Забезпечення якості </w:t>
                  </w:r>
                  <w:r w:rsidRPr="00270FCF">
                    <w:rPr>
                      <w:lang w:val="uk-UA"/>
                    </w:rPr>
                    <w:lastRenderedPageBreak/>
                    <w:t>вищої освіти: досвід Федеративної Республіки Німеччини.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 xml:space="preserve">Нормативно-правові засади </w:t>
                  </w:r>
                  <w:r w:rsidRPr="00270FCF">
                    <w:rPr>
                      <w:lang w:val="uk-UA"/>
                    </w:rPr>
                    <w:lastRenderedPageBreak/>
                    <w:t>забезпечення якості вищої освіти у Німеччині.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Німеччині.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Німеччині.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Німеччині.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1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Німеччині.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19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Грецької Республіки.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Греції.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Греції.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Греції.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Греції.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Греції.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Італійської Республіки.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Італії.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Італії.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в Італії.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Італії.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Італії.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21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Угорщина.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Угорщині.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Угорщині.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в Угорщині.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Угорщині.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2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Угорщині.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22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Ірландія.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 xml:space="preserve">Процедура зовнішнього </w:t>
                  </w:r>
                  <w:r w:rsidRPr="00270FCF">
                    <w:rPr>
                      <w:lang w:val="uk-UA"/>
                    </w:rPr>
                    <w:lastRenderedPageBreak/>
                    <w:t>забезпечення якості вищої освіти в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3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Ірландії.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23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Литовської Республіки.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Литві.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Литві.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Литві.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Литві.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4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Литві.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24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Королівства Нідерландів.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Нідерландах.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Нідерландах.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Нідерландах.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Нідерландах.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5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Нідерландах.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Польща.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Польщі.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Польщі.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Польщі.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Польщі.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6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Польщі.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26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Португальської Республіки.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Португалії.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Португалії.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Португалії.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Португалії.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7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Португалії.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lastRenderedPageBreak/>
                    <w:t>27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Румунії.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Румунії.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Румунії.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Румунії.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Румунії.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8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Румунії.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Республіки Словенія.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Словенії.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Словенії.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Словенії.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Словенії.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29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Словенії.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29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Королівства Іспанія.</w:t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в Іспанії.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в Іспанії.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в Іспанії.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в Іспанії.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0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в Іспанії.</w:t>
                  </w:r>
                </w:p>
              </w:tc>
            </w:tr>
            <w:tr w:rsidR="009061DA" w:rsidRPr="00270FCF" w:rsidTr="009061DA">
              <w:tc>
                <w:tcPr>
                  <w:tcW w:w="534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2623" w:type="dxa"/>
                </w:tcPr>
                <w:p w:rsidR="009061DA" w:rsidRPr="00270FCF" w:rsidRDefault="009061DA" w:rsidP="00270FCF">
                  <w:pPr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Забезпечення якості вищої освіти: досвід Сполученого Королівства Великої Британії та Північної Ірландії.</w:t>
                  </w:r>
                  <w:r w:rsidRPr="00270FCF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4536" w:type="dxa"/>
                </w:tcPr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Нормативно-правові засади забезпечення якості вищої освіти у Великій Британії та Північній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внутрішнього забезпечення якості вищої освіти у Великій Британії та Північній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Процедура зовнішнього забезпечення якості вищої освіти у Великій Британії та Північній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Діяльність агенцій із забезпечення якості у Великій Британії та Північній Ірландії.</w:t>
                  </w:r>
                </w:p>
                <w:p w:rsidR="009061DA" w:rsidRPr="00270FCF" w:rsidRDefault="009061DA" w:rsidP="006B7715">
                  <w:pPr>
                    <w:pStyle w:val="aff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0" w:firstLine="567"/>
                    <w:contextualSpacing/>
                    <w:jc w:val="both"/>
                    <w:rPr>
                      <w:lang w:val="uk-UA"/>
                    </w:rPr>
                  </w:pPr>
                  <w:r w:rsidRPr="00270FCF">
                    <w:rPr>
                      <w:lang w:val="uk-UA"/>
                    </w:rPr>
                    <w:t>Управління якістю вищої освіти у Великій Британії та Північній Ірландії.</w:t>
                  </w:r>
                </w:p>
              </w:tc>
            </w:tr>
          </w:tbl>
          <w:p w:rsidR="00CD5ED3" w:rsidRPr="00270FCF" w:rsidRDefault="00CD5ED3" w:rsidP="00270FCF">
            <w:pPr>
              <w:rPr>
                <w:lang w:val="uk-UA"/>
              </w:rPr>
            </w:pPr>
          </w:p>
        </w:tc>
      </w:tr>
      <w:tr w:rsidR="00CD5ED3" w:rsidRPr="00270FCF" w:rsidTr="00CD5ED3">
        <w:trPr>
          <w:trHeight w:val="233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Default="00270FCF" w:rsidP="00270FCF">
            <w:pPr>
              <w:ind w:left="180"/>
              <w:rPr>
                <w:b/>
                <w:lang w:val="uk-UA"/>
              </w:rPr>
            </w:pPr>
          </w:p>
          <w:p w:rsidR="00CD5ED3" w:rsidRPr="00270FCF" w:rsidRDefault="003D3DA1" w:rsidP="00270FCF">
            <w:pPr>
              <w:ind w:left="180"/>
              <w:rPr>
                <w:b/>
              </w:rPr>
            </w:pPr>
            <w:r w:rsidRPr="00270FCF">
              <w:rPr>
                <w:b/>
                <w:lang w:val="uk-UA"/>
              </w:rPr>
              <w:lastRenderedPageBreak/>
              <w:t>2017-2018 н</w:t>
            </w:r>
            <w:r w:rsidR="009D3E40" w:rsidRPr="00270FCF">
              <w:rPr>
                <w:b/>
                <w:lang w:val="uk-UA"/>
              </w:rPr>
              <w:t>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Default="00270FCF" w:rsidP="00270FCF">
            <w:pPr>
              <w:ind w:left="180"/>
              <w:rPr>
                <w:b/>
                <w:lang w:val="uk-UA"/>
              </w:rPr>
            </w:pPr>
          </w:p>
          <w:p w:rsidR="00CD5ED3" w:rsidRPr="00270FCF" w:rsidRDefault="00CD5ED3" w:rsidP="00270FCF">
            <w:pPr>
              <w:ind w:left="180"/>
              <w:rPr>
                <w:b/>
              </w:rPr>
            </w:pPr>
            <w:r w:rsidRPr="00270FCF">
              <w:rPr>
                <w:b/>
              </w:rPr>
              <w:lastRenderedPageBreak/>
              <w:t>2</w:t>
            </w:r>
            <w:r w:rsidR="003D3DA1" w:rsidRPr="00270FCF">
              <w:rPr>
                <w:b/>
                <w:lang w:val="uk-UA"/>
              </w:rPr>
              <w:t>018-2019</w:t>
            </w:r>
            <w:r w:rsidR="009D3E40" w:rsidRPr="00270FCF">
              <w:rPr>
                <w:b/>
                <w:lang w:val="uk-UA"/>
              </w:rPr>
              <w:t xml:space="preserve">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Default="00270FCF" w:rsidP="00270FCF">
            <w:pPr>
              <w:ind w:left="180"/>
              <w:rPr>
                <w:b/>
                <w:lang w:val="uk-UA"/>
              </w:rPr>
            </w:pPr>
          </w:p>
          <w:p w:rsidR="00CD5ED3" w:rsidRPr="00270FCF" w:rsidRDefault="003D3DA1" w:rsidP="00270FCF">
            <w:pPr>
              <w:ind w:left="180"/>
              <w:rPr>
                <w:b/>
              </w:rPr>
            </w:pPr>
            <w:r w:rsidRPr="00270FCF">
              <w:rPr>
                <w:b/>
                <w:lang w:val="uk-UA"/>
              </w:rPr>
              <w:lastRenderedPageBreak/>
              <w:t>2019-2020</w:t>
            </w:r>
            <w:r w:rsidR="009D3E40" w:rsidRPr="00270FCF">
              <w:rPr>
                <w:b/>
                <w:lang w:val="uk-UA"/>
              </w:rPr>
              <w:t xml:space="preserve"> нр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Default="00270FCF" w:rsidP="00270FCF">
            <w:pPr>
              <w:ind w:left="180"/>
              <w:rPr>
                <w:b/>
                <w:lang w:val="uk-UA"/>
              </w:rPr>
            </w:pPr>
          </w:p>
          <w:p w:rsidR="00CD5ED3" w:rsidRPr="00270FCF" w:rsidRDefault="003D3DA1" w:rsidP="00270FCF">
            <w:pPr>
              <w:ind w:left="180"/>
              <w:rPr>
                <w:b/>
              </w:rPr>
            </w:pPr>
            <w:r w:rsidRPr="00270FCF">
              <w:rPr>
                <w:b/>
                <w:lang w:val="uk-UA"/>
              </w:rPr>
              <w:lastRenderedPageBreak/>
              <w:t>Всього</w:t>
            </w:r>
          </w:p>
        </w:tc>
      </w:tr>
      <w:tr w:rsidR="00CD5ED3" w:rsidRPr="00270FCF" w:rsidTr="00CD5ED3">
        <w:trPr>
          <w:trHeight w:val="232"/>
        </w:trPr>
        <w:tc>
          <w:tcPr>
            <w:tcW w:w="1808" w:type="dxa"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9D3E40" w:rsidP="00270FCF">
            <w:pPr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lastRenderedPageBreak/>
              <w:t>К-сть год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60</w:t>
            </w:r>
          </w:p>
        </w:tc>
      </w:tr>
      <w:tr w:rsidR="00BE7E9C" w:rsidRPr="00270FCF" w:rsidTr="00605DA7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7E9C" w:rsidRPr="00270FCF" w:rsidRDefault="00BE7E9C" w:rsidP="00270FCF">
            <w:pPr>
              <w:rPr>
                <w:b/>
                <w:lang w:val="uk-UA"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BE7E9C" w:rsidRPr="00270FCF" w:rsidRDefault="00BE7E9C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 xml:space="preserve">*** </w:t>
            </w:r>
          </w:p>
          <w:tbl>
            <w:tblPr>
              <w:tblStyle w:val="Text2"/>
              <w:tblW w:w="6903" w:type="dxa"/>
              <w:tblInd w:w="180" w:type="dxa"/>
              <w:tblLayout w:type="fixed"/>
              <w:tblLook w:val="04A0"/>
            </w:tblPr>
            <w:tblGrid>
              <w:gridCol w:w="2284"/>
              <w:gridCol w:w="4619"/>
            </w:tblGrid>
            <w:tr w:rsidR="00BE7E9C" w:rsidRPr="00270FCF" w:rsidTr="00CD5ED3">
              <w:tc>
                <w:tcPr>
                  <w:tcW w:w="2284" w:type="dxa"/>
                </w:tcPr>
                <w:p w:rsidR="00BE7E9C" w:rsidRPr="00270FCF" w:rsidRDefault="00BE7E9C" w:rsidP="00270FCF">
                  <w:pPr>
                    <w:rPr>
                      <w:lang w:val="en-US"/>
                    </w:rPr>
                  </w:pPr>
                  <w:r w:rsidRPr="00270FCF">
                    <w:rPr>
                      <w:lang w:val="en-US"/>
                    </w:rPr>
                    <w:t xml:space="preserve">№ </w:t>
                  </w:r>
                  <w:r w:rsidRPr="00270FCF"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4619" w:type="dxa"/>
                </w:tcPr>
                <w:p w:rsidR="00BE7E9C" w:rsidRPr="00270FCF" w:rsidRDefault="00BE7E9C" w:rsidP="00270FCF">
                  <w:pPr>
                    <w:ind w:left="0"/>
                    <w:rPr>
                      <w:lang w:val="en-US"/>
                    </w:rPr>
                  </w:pPr>
                  <w:r w:rsidRPr="00270FCF">
                    <w:rPr>
                      <w:lang w:val="uk-UA"/>
                    </w:rPr>
                    <w:t xml:space="preserve">        </w:t>
                  </w:r>
                  <w:r w:rsidRPr="00270FCF">
                    <w:rPr>
                      <w:lang w:val="en-US"/>
                    </w:rPr>
                    <w:t>Timing</w:t>
                  </w:r>
                </w:p>
              </w:tc>
            </w:tr>
            <w:tr w:rsidR="00BE7E9C" w:rsidRPr="00270FCF" w:rsidTr="00CD5ED3">
              <w:tc>
                <w:tcPr>
                  <w:tcW w:w="2284" w:type="dxa"/>
                </w:tcPr>
                <w:p w:rsidR="00BE7E9C" w:rsidRPr="00270FCF" w:rsidRDefault="00BE7E9C" w:rsidP="00270FCF">
                  <w:pPr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1-8</w:t>
                  </w:r>
                </w:p>
              </w:tc>
              <w:tc>
                <w:tcPr>
                  <w:tcW w:w="4619" w:type="dxa"/>
                </w:tcPr>
                <w:p w:rsidR="00BE7E9C" w:rsidRPr="00270FCF" w:rsidRDefault="00BE7E9C" w:rsidP="00270FCF">
                  <w:pPr>
                    <w:ind w:left="0"/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1</w:t>
                  </w:r>
                  <w:r w:rsidRPr="00270FCF">
                    <w:rPr>
                      <w:i/>
                      <w:lang w:val="uk-UA"/>
                    </w:rPr>
                    <w:t xml:space="preserve"> р.</w:t>
                  </w:r>
                  <w:r w:rsidRPr="00270FCF">
                    <w:rPr>
                      <w:i/>
                      <w:lang w:val="en-US"/>
                    </w:rPr>
                    <w:t xml:space="preserve">, </w:t>
                  </w:r>
                  <w:r w:rsidRPr="00270FCF">
                    <w:rPr>
                      <w:i/>
                      <w:lang w:val="uk-UA"/>
                    </w:rPr>
                    <w:t>1 семестр</w:t>
                  </w:r>
                </w:p>
              </w:tc>
            </w:tr>
            <w:tr w:rsidR="00BE7E9C" w:rsidRPr="00270FCF" w:rsidTr="00CD5ED3">
              <w:tc>
                <w:tcPr>
                  <w:tcW w:w="2284" w:type="dxa"/>
                </w:tcPr>
                <w:p w:rsidR="00BE7E9C" w:rsidRPr="00270FCF" w:rsidRDefault="00BE7E9C" w:rsidP="00270FCF">
                  <w:pPr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9-20</w:t>
                  </w:r>
                </w:p>
              </w:tc>
              <w:tc>
                <w:tcPr>
                  <w:tcW w:w="4619" w:type="dxa"/>
                </w:tcPr>
                <w:p w:rsidR="00BE7E9C" w:rsidRPr="00270FCF" w:rsidRDefault="00BE7E9C" w:rsidP="00270FCF">
                  <w:pPr>
                    <w:ind w:left="0"/>
                    <w:rPr>
                      <w:lang w:val="uk-UA"/>
                    </w:rPr>
                  </w:pPr>
                  <w:r w:rsidRPr="00270FCF">
                    <w:rPr>
                      <w:i/>
                      <w:lang w:val="en-US"/>
                    </w:rPr>
                    <w:t xml:space="preserve">2 </w:t>
                  </w:r>
                  <w:r w:rsidRPr="00270FCF">
                    <w:rPr>
                      <w:i/>
                      <w:lang w:val="uk-UA"/>
                    </w:rPr>
                    <w:t>р.</w:t>
                  </w:r>
                  <w:r w:rsidRPr="00270FCF">
                    <w:rPr>
                      <w:i/>
                      <w:lang w:val="en-US"/>
                    </w:rPr>
                    <w:t>, 1</w:t>
                  </w:r>
                  <w:r w:rsidRPr="00270FCF">
                    <w:rPr>
                      <w:i/>
                      <w:vertAlign w:val="superscript"/>
                      <w:lang w:val="uk-UA"/>
                    </w:rPr>
                    <w:t xml:space="preserve"> </w:t>
                  </w:r>
                  <w:r w:rsidRPr="00270FCF">
                    <w:rPr>
                      <w:i/>
                      <w:lang w:val="uk-UA"/>
                    </w:rPr>
                    <w:t>семестр</w:t>
                  </w:r>
                </w:p>
              </w:tc>
            </w:tr>
            <w:tr w:rsidR="00BE7E9C" w:rsidRPr="00270FCF" w:rsidTr="00CD5ED3">
              <w:tc>
                <w:tcPr>
                  <w:tcW w:w="2284" w:type="dxa"/>
                </w:tcPr>
                <w:p w:rsidR="00BE7E9C" w:rsidRPr="00270FCF" w:rsidRDefault="00BE7E9C" w:rsidP="00270FCF">
                  <w:pPr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21-30</w:t>
                  </w:r>
                </w:p>
              </w:tc>
              <w:tc>
                <w:tcPr>
                  <w:tcW w:w="4619" w:type="dxa"/>
                </w:tcPr>
                <w:p w:rsidR="00BE7E9C" w:rsidRPr="00270FCF" w:rsidRDefault="00BE7E9C" w:rsidP="00270FCF">
                  <w:pPr>
                    <w:ind w:left="0"/>
                    <w:rPr>
                      <w:lang w:val="uk-UA"/>
                    </w:rPr>
                  </w:pPr>
                  <w:r w:rsidRPr="00270FCF">
                    <w:rPr>
                      <w:i/>
                      <w:lang w:val="en-US"/>
                    </w:rPr>
                    <w:t xml:space="preserve">3 </w:t>
                  </w:r>
                  <w:r w:rsidRPr="00270FCF">
                    <w:rPr>
                      <w:i/>
                      <w:lang w:val="uk-UA"/>
                    </w:rPr>
                    <w:t>р.</w:t>
                  </w:r>
                  <w:r w:rsidRPr="00270FCF">
                    <w:rPr>
                      <w:i/>
                      <w:lang w:val="en-US"/>
                    </w:rPr>
                    <w:t>, 1</w:t>
                  </w:r>
                  <w:r w:rsidRPr="00270FCF">
                    <w:rPr>
                      <w:i/>
                      <w:vertAlign w:val="superscript"/>
                      <w:lang w:val="uk-UA"/>
                    </w:rPr>
                    <w:t xml:space="preserve"> </w:t>
                  </w:r>
                  <w:r w:rsidRPr="00270FCF">
                    <w:rPr>
                      <w:i/>
                      <w:lang w:val="uk-UA"/>
                    </w:rPr>
                    <w:t>семестр</w:t>
                  </w:r>
                </w:p>
              </w:tc>
            </w:tr>
          </w:tbl>
          <w:p w:rsidR="00BE7E9C" w:rsidRPr="00270FCF" w:rsidRDefault="00BE7E9C" w:rsidP="00270FCF"/>
        </w:tc>
      </w:tr>
    </w:tbl>
    <w:p w:rsidR="00CD5ED3" w:rsidRPr="00270FCF" w:rsidRDefault="00CD5ED3" w:rsidP="00270FCF">
      <w:pPr>
        <w:ind w:right="-136"/>
        <w:rPr>
          <w:b/>
          <w:lang w:val="uk-UA"/>
        </w:rPr>
      </w:pPr>
    </w:p>
    <w:p w:rsidR="003D3DA1" w:rsidRPr="00270FCF" w:rsidRDefault="003D3DA1" w:rsidP="00270FCF">
      <w:pPr>
        <w:ind w:right="-136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1744"/>
        <w:gridCol w:w="1701"/>
        <w:gridCol w:w="1701"/>
        <w:gridCol w:w="2693"/>
      </w:tblGrid>
      <w:tr w:rsidR="007F1E30" w:rsidRPr="00270FCF" w:rsidTr="00605DA7">
        <w:tc>
          <w:tcPr>
            <w:tcW w:w="9647" w:type="dxa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F1E30" w:rsidRDefault="007F1E30" w:rsidP="007F1E30">
            <w:pPr>
              <w:ind w:left="43"/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7F1E30" w:rsidRDefault="007F1E30" w:rsidP="007F1E30">
            <w:pPr>
              <w:ind w:left="43"/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  <w:r w:rsidRPr="007F1E30">
              <w:rPr>
                <w:b/>
                <w:bCs/>
                <w:color w:val="C00000"/>
                <w:sz w:val="28"/>
                <w:szCs w:val="28"/>
                <w:lang w:val="uk-UA"/>
              </w:rPr>
              <w:t>СЕМІНАРИ</w:t>
            </w:r>
          </w:p>
          <w:p w:rsidR="007F1E30" w:rsidRPr="007F1E30" w:rsidRDefault="007F1E30" w:rsidP="007F1E30">
            <w:pPr>
              <w:ind w:left="43"/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</w:tr>
      <w:tr w:rsidR="00CD5ED3" w:rsidRPr="00270FCF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6C788E" w:rsidP="00270FCF">
            <w:pPr>
              <w:rPr>
                <w:lang w:val="uk-UA"/>
              </w:rPr>
            </w:pPr>
            <w:r w:rsidRPr="00270FCF">
              <w:rPr>
                <w:b/>
                <w:bCs/>
                <w:lang w:val="uk-UA"/>
              </w:rPr>
              <w:t xml:space="preserve">   Теми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1134"/>
                <w:tab w:val="left" w:pos="1701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Система забезпечення якості вищої освіти у країнах ЄС.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1134"/>
                <w:tab w:val="left" w:pos="1701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Реалізація стандартів щодо забезпечення якості вищої освіти: український і європейський досвід.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567"/>
                <w:tab w:val="left" w:pos="1134"/>
              </w:tabs>
              <w:jc w:val="both"/>
              <w:rPr>
                <w:rFonts w:eastAsia="TimesNewRomanPSMT"/>
                <w:lang w:val="uk-UA" w:eastAsia="ru-RU"/>
              </w:rPr>
            </w:pPr>
            <w:r w:rsidRPr="00270FCF">
              <w:rPr>
                <w:rFonts w:eastAsia="TimesNewRomanPSMT"/>
                <w:lang w:val="ru-RU" w:eastAsia="ru-RU"/>
              </w:rPr>
              <w:t>Методи і технології експертного супроводу забезпечення якості</w:t>
            </w:r>
            <w:r w:rsidRPr="00270FCF">
              <w:rPr>
                <w:rFonts w:eastAsia="TimesNewRomanPSMT"/>
                <w:lang w:val="uk-UA" w:eastAsia="ru-RU"/>
              </w:rPr>
              <w:t xml:space="preserve"> </w:t>
            </w:r>
            <w:r w:rsidRPr="00270FCF">
              <w:rPr>
                <w:lang w:val="uk-UA"/>
              </w:rPr>
              <w:t>вищої</w:t>
            </w:r>
            <w:r w:rsidRPr="00270FCF">
              <w:rPr>
                <w:rFonts w:eastAsia="TimesNewRomanPSMT"/>
                <w:lang w:val="uk-UA" w:eastAsia="ru-RU"/>
              </w:rPr>
              <w:t xml:space="preserve"> о</w:t>
            </w:r>
            <w:r w:rsidRPr="00270FCF">
              <w:rPr>
                <w:rFonts w:eastAsia="TimesNewRomanPSMT"/>
                <w:lang w:val="ru-RU" w:eastAsia="ru-RU"/>
              </w:rPr>
              <w:t>світи</w:t>
            </w:r>
            <w:r w:rsidRPr="00270FCF">
              <w:rPr>
                <w:rFonts w:eastAsia="TimesNewRomanPSMT"/>
                <w:lang w:val="uk-UA" w:eastAsia="ru-RU"/>
              </w:rPr>
              <w:t>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Організаційні форми і методи експертної діяльності у вищій освіті.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Нормативно-правове забезпечення якості вищої освіти ЄС та України.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 xml:space="preserve">Поняття внутрішнього моніторингу. Мета. Задачі. Інструментарій. 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Індикатори якості освіти у країнах ЄС.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Управління процесом упровадження освітніх інновацій у країнах ЄС.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міжнародних організацій у галузі проведення компаративістських досліджень з освіти.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Австрії.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Бельгії.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Болгарії.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Хорватії.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Данії.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Естонії.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у Фінляндії.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у Франції.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у Німеччині.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у Греції.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Діяльність агенцій із забезпечення якості вищої освіти в Італії.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Угорщина.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Ірландія.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Литовської Республіки.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Нідерландів.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Польща.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Португальської Республіки.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Румунії.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Республіки Словенія.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Королівства Іспанія.</w:t>
            </w:r>
          </w:p>
          <w:p w:rsidR="002D622C" w:rsidRPr="00270FCF" w:rsidRDefault="002D622C" w:rsidP="006B7715">
            <w:pPr>
              <w:pStyle w:val="affa"/>
              <w:numPr>
                <w:ilvl w:val="0"/>
                <w:numId w:val="32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270FCF">
              <w:rPr>
                <w:lang w:val="uk-UA"/>
              </w:rPr>
              <w:t>Забезпечення якості вищої освіти: досвід Сполученого Королівства Великої Британії та Північної Ірландії.</w:t>
            </w:r>
          </w:p>
          <w:p w:rsidR="00CD5ED3" w:rsidRPr="00270FCF" w:rsidRDefault="00CD5ED3" w:rsidP="00270FCF">
            <w:pPr>
              <w:pStyle w:val="affa"/>
              <w:ind w:left="468"/>
              <w:rPr>
                <w:lang w:val="uk-UA"/>
              </w:rPr>
            </w:pPr>
          </w:p>
        </w:tc>
      </w:tr>
      <w:tr w:rsidR="00CD5ED3" w:rsidRPr="00270FCF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rPr>
                <w:b/>
                <w:lang w:val="en-US"/>
              </w:rPr>
            </w:pPr>
            <w:r w:rsidRPr="00270FCF">
              <w:rPr>
                <w:b/>
                <w:lang w:val="uk-UA"/>
              </w:rPr>
              <w:t>Викладач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F5F15" w:rsidRDefault="002D622C" w:rsidP="00270FCF">
            <w:pPr>
              <w:rPr>
                <w:color w:val="222222"/>
                <w:shd w:val="clear" w:color="auto" w:fill="FFFFFF"/>
                <w:lang w:val="uk-UA"/>
              </w:rPr>
            </w:pPr>
            <w:r w:rsidRPr="00270FCF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CD5ED3" w:rsidRDefault="002D622C" w:rsidP="00270FCF">
            <w:pPr>
              <w:rPr>
                <w:color w:val="222222"/>
                <w:shd w:val="clear" w:color="auto" w:fill="FFFFFF"/>
                <w:lang w:val="uk-UA"/>
              </w:rPr>
            </w:pPr>
            <w:r w:rsidRPr="007F1E30">
              <w:rPr>
                <w:b/>
                <w:color w:val="222222"/>
                <w:shd w:val="clear" w:color="auto" w:fill="FFFFFF"/>
                <w:lang w:val="uk-UA"/>
              </w:rPr>
              <w:t>Сисоєва С.О.,</w:t>
            </w:r>
            <w:r w:rsidRPr="00270FCF">
              <w:rPr>
                <w:color w:val="222222"/>
                <w:shd w:val="clear" w:color="auto" w:fill="FFFFFF"/>
                <w:lang w:val="uk-UA"/>
              </w:rPr>
              <w:t xml:space="preserve"> док.пед.н., професор, академік НАПН України</w:t>
            </w:r>
          </w:p>
          <w:p w:rsidR="003F5F15" w:rsidRPr="00270FCF" w:rsidRDefault="003F5F15" w:rsidP="00270FCF">
            <w:pPr>
              <w:rPr>
                <w:lang w:val="uk-UA"/>
              </w:rPr>
            </w:pPr>
          </w:p>
        </w:tc>
      </w:tr>
      <w:tr w:rsidR="00CD5ED3" w:rsidRPr="001C756A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3F5F15" w:rsidRDefault="00CD5ED3" w:rsidP="00270FCF">
            <w:pPr>
              <w:rPr>
                <w:b/>
                <w:lang w:val="ru-RU"/>
              </w:rPr>
            </w:pPr>
          </w:p>
          <w:p w:rsidR="003F5F15" w:rsidRDefault="002D622C" w:rsidP="00270FCF">
            <w:pPr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lastRenderedPageBreak/>
              <w:t xml:space="preserve">      </w:t>
            </w:r>
          </w:p>
          <w:p w:rsidR="003F5F15" w:rsidRDefault="003F5F15" w:rsidP="00270FCF">
            <w:pPr>
              <w:rPr>
                <w:b/>
                <w:lang w:val="uk-UA"/>
              </w:rPr>
            </w:pPr>
          </w:p>
          <w:p w:rsidR="00CD5ED3" w:rsidRPr="00270FCF" w:rsidRDefault="003F5F15" w:rsidP="00270F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2D622C" w:rsidRPr="00270FCF">
              <w:rPr>
                <w:b/>
                <w:lang w:val="uk-UA"/>
              </w:rPr>
              <w:t>Опис</w:t>
            </w:r>
          </w:p>
          <w:p w:rsidR="00CD5ED3" w:rsidRPr="00270FCF" w:rsidRDefault="00CD5ED3" w:rsidP="00270FCF">
            <w:pPr>
              <w:rPr>
                <w:b/>
                <w:lang w:val="en-US"/>
              </w:rPr>
            </w:pP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F5F15" w:rsidRDefault="003F5F15"/>
          <w:tbl>
            <w:tblPr>
              <w:tblStyle w:val="afa"/>
              <w:tblW w:w="7834" w:type="dxa"/>
              <w:tblLayout w:type="fixed"/>
              <w:tblLook w:val="04A0"/>
            </w:tblPr>
            <w:tblGrid>
              <w:gridCol w:w="534"/>
              <w:gridCol w:w="3260"/>
              <w:gridCol w:w="4040"/>
            </w:tblGrid>
            <w:tr w:rsidR="001C756A" w:rsidRPr="00CA07BF" w:rsidTr="001C756A">
              <w:tc>
                <w:tcPr>
                  <w:tcW w:w="534" w:type="dxa"/>
                </w:tcPr>
                <w:p w:rsidR="001C756A" w:rsidRPr="003F5F15" w:rsidRDefault="001C756A" w:rsidP="003F5F15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lang w:val="uk-UA" w:eastAsia="ru-RU"/>
                    </w:rPr>
                  </w:pPr>
                  <w:r w:rsidRPr="003F5F15">
                    <w:rPr>
                      <w:b/>
                      <w:lang w:val="uk-UA"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260" w:type="dxa"/>
                </w:tcPr>
                <w:p w:rsidR="001C756A" w:rsidRPr="003F5F15" w:rsidRDefault="001C756A" w:rsidP="003F5F15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lang w:val="uk-UA" w:eastAsia="ru-RU"/>
                    </w:rPr>
                  </w:pPr>
                  <w:r w:rsidRPr="003F5F15">
                    <w:rPr>
                      <w:b/>
                      <w:lang w:val="uk-UA" w:eastAsia="ru-RU"/>
                    </w:rPr>
                    <w:t>Теми</w:t>
                  </w:r>
                </w:p>
              </w:tc>
              <w:tc>
                <w:tcPr>
                  <w:tcW w:w="4040" w:type="dxa"/>
                </w:tcPr>
                <w:p w:rsidR="001C756A" w:rsidRPr="003F5F15" w:rsidRDefault="001C756A" w:rsidP="003F5F15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lang w:val="uk-UA" w:eastAsia="ru-RU"/>
                    </w:rPr>
                  </w:pPr>
                  <w:r w:rsidRPr="003F5F15">
                    <w:rPr>
                      <w:b/>
                      <w:lang w:val="uk-UA" w:eastAsia="ru-RU"/>
                    </w:rPr>
                    <w:t>План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0"/>
                      <w:tab w:val="left" w:pos="1134"/>
                      <w:tab w:val="left" w:pos="1701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Система забезпечення якості вищої освіти у країнах ЄС.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Якість української професійної освіти: проблеми та перспективи. 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Процес забезпечення якості в системі вищої освіти у країнах ЄС.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5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Особливі тенденції у забезпеченні якості вищої освіти у різних країнах ЄС.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0"/>
                      <w:tab w:val="left" w:pos="1134"/>
                      <w:tab w:val="left" w:pos="1701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Реалізація стандартів щодо забезпечення якості вищої освіти: український і європейський досвід.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0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Вітчизняні та європейські стандарти і рекомендації щодо забезпечення якості освіти: порівняльний аспект (на прикладі Стандартів і рекомендацій із забезпечення якості в Європейському просторі вищої освіти / The Standards and guidelines for quality assurance in the European Higher Education Area (ESG)).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42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Агенції із забезпечення якості освіти: європейський досвід.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42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Європейське студентське об’єднання / </w:t>
                  </w:r>
                  <w:r w:rsidRPr="00CA07BF">
                    <w:t>European</w:t>
                  </w:r>
                  <w:r w:rsidRPr="00CA07BF">
                    <w:rPr>
                      <w:lang w:val="uk-UA"/>
                    </w:rPr>
                    <w:t xml:space="preserve"> </w:t>
                  </w:r>
                  <w:r w:rsidRPr="00CA07BF">
                    <w:t>Students</w:t>
                  </w:r>
                  <w:r w:rsidRPr="00CA07BF">
                    <w:rPr>
                      <w:lang w:val="uk-UA"/>
                    </w:rPr>
                    <w:t xml:space="preserve">' </w:t>
                  </w:r>
                  <w:r w:rsidRPr="00CA07BF">
                    <w:t>Union</w:t>
                  </w:r>
                  <w:r w:rsidRPr="00CA07BF">
                    <w:rPr>
                      <w:lang w:val="uk-UA"/>
                    </w:rPr>
                    <w:t xml:space="preserve"> (</w:t>
                  </w:r>
                  <w:r w:rsidRPr="00CA07BF">
                    <w:rPr>
                      <w:lang w:val="en-US"/>
                    </w:rPr>
                    <w:t>ESU</w:t>
                  </w:r>
                  <w:r w:rsidRPr="00CA07BF">
                    <w:rPr>
                      <w:lang w:val="uk-UA"/>
                    </w:rPr>
                    <w:t>).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42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Європейський реєстр із забезпечення якості освіти / European Quality Assurance Register (</w:t>
                  </w:r>
                  <w:r w:rsidRPr="00CA07BF">
                    <w:rPr>
                      <w:lang w:val="en-US"/>
                    </w:rPr>
                    <w:t>EQAR</w:t>
                  </w:r>
                  <w:r w:rsidRPr="00CA07BF">
                    <w:rPr>
                      <w:lang w:val="uk-UA"/>
                    </w:rPr>
                    <w:t>).</w:t>
                  </w:r>
                </w:p>
                <w:p w:rsidR="001C756A" w:rsidRPr="00CA07BF" w:rsidRDefault="001C756A" w:rsidP="006B7715">
                  <w:pPr>
                    <w:pStyle w:val="affa"/>
                    <w:framePr w:hSpace="180" w:wrap="around" w:vAnchor="text" w:hAnchor="text" w:y="1"/>
                    <w:numPr>
                      <w:ilvl w:val="0"/>
                      <w:numId w:val="34"/>
                    </w:numPr>
                    <w:tabs>
                      <w:tab w:val="left" w:pos="142"/>
                      <w:tab w:val="left" w:pos="1134"/>
                      <w:tab w:val="left" w:pos="1701"/>
                    </w:tabs>
                    <w:ind w:left="0" w:firstLine="567"/>
                    <w:contextualSpacing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Європейська базова рамка забезпечення якості освіти / European Quality Assurance Reference Framework (</w:t>
                  </w:r>
                  <w:r w:rsidRPr="00CA07BF">
                    <w:rPr>
                      <w:lang w:val="en-US"/>
                    </w:rPr>
                    <w:t>EQARF</w:t>
                  </w:r>
                  <w:r w:rsidRPr="00CA07BF">
                    <w:rPr>
                      <w:lang w:val="uk-UA"/>
                    </w:rPr>
                    <w:t>).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567"/>
                      <w:tab w:val="left" w:pos="1134"/>
                    </w:tabs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1C756A">
                    <w:rPr>
                      <w:rFonts w:eastAsia="TimesNewRomanPSMT"/>
                      <w:lang w:val="ru-RU" w:eastAsia="ru-RU"/>
                    </w:rPr>
                    <w:t>Методи і технології експертного супроводу забезпечення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</w:t>
                  </w:r>
                  <w:r w:rsidRPr="00CA07BF">
                    <w:rPr>
                      <w:lang w:val="uk-UA"/>
                    </w:rPr>
                    <w:t>вищої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світи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6B7715">
                  <w:pPr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567"/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1C756A">
                    <w:rPr>
                      <w:rFonts w:eastAsia="TimesNewRomanPSMT"/>
                      <w:lang w:val="ru-RU" w:eastAsia="ru-RU"/>
                    </w:rPr>
                    <w:t>Методи експертного супроводу забезпечення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</w:t>
                  </w:r>
                  <w:r w:rsidRPr="00CA07BF">
                    <w:rPr>
                      <w:lang w:val="uk-UA"/>
                    </w:rPr>
                    <w:t>вищої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світи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.</w:t>
                  </w:r>
                </w:p>
                <w:p w:rsidR="001C756A" w:rsidRPr="00CA07BF" w:rsidRDefault="001C756A" w:rsidP="006B7715">
                  <w:pPr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567"/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CA07BF">
                    <w:rPr>
                      <w:rFonts w:eastAsia="TimesNewRomanPSMT"/>
                      <w:lang w:val="uk-UA" w:eastAsia="ru-RU"/>
                    </w:rPr>
                    <w:t>Т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ехнології експертного супроводу забезпечення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</w:t>
                  </w:r>
                  <w:r w:rsidRPr="00CA07BF">
                    <w:rPr>
                      <w:lang w:val="uk-UA"/>
                    </w:rPr>
                    <w:t>вищої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світи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.</w:t>
                  </w:r>
                </w:p>
                <w:p w:rsidR="001C756A" w:rsidRPr="00CA07BF" w:rsidRDefault="001C756A" w:rsidP="006B7715">
                  <w:pPr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567"/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CA07BF">
                    <w:rPr>
                      <w:rFonts w:eastAsia="TimesNewRomanPSMT"/>
                      <w:lang w:val="uk-UA" w:eastAsia="ru-RU"/>
                    </w:rPr>
                    <w:t>Е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кспертн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ий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виснов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к щодо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</w:t>
                  </w:r>
                  <w:r w:rsidRPr="00CA07BF">
                    <w:rPr>
                      <w:lang w:val="uk-UA"/>
                    </w:rPr>
                    <w:t>викладацького складу вищого навчального закладу.</w:t>
                  </w:r>
                </w:p>
                <w:p w:rsidR="001C756A" w:rsidRPr="00CA07BF" w:rsidRDefault="001C756A" w:rsidP="006B7715">
                  <w:pPr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567"/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CA07BF">
                    <w:rPr>
                      <w:rFonts w:eastAsia="TimesNewRomanPSMT"/>
                      <w:lang w:val="uk-UA" w:eastAsia="ru-RU"/>
                    </w:rPr>
                    <w:t>Особливості п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ідгот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в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ки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експертн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ого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висновк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у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щодо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навчальної програми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.</w:t>
                  </w:r>
                </w:p>
                <w:p w:rsidR="001C756A" w:rsidRPr="00CA07BF" w:rsidRDefault="001C756A" w:rsidP="006B7715">
                  <w:pPr>
                    <w:framePr w:hSpace="180" w:wrap="around" w:vAnchor="text" w:hAnchor="text" w:y="1"/>
                    <w:numPr>
                      <w:ilvl w:val="0"/>
                      <w:numId w:val="36"/>
                    </w:num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left="0" w:firstLine="567"/>
                    <w:suppressOverlap/>
                    <w:jc w:val="both"/>
                    <w:rPr>
                      <w:rFonts w:eastAsia="TimesNewRomanPSMT"/>
                      <w:lang w:val="uk-UA" w:eastAsia="ru-RU"/>
                    </w:rPr>
                  </w:pPr>
                  <w:r w:rsidRPr="00CA07BF">
                    <w:rPr>
                      <w:rFonts w:eastAsia="TimesNewRomanPSMT"/>
                      <w:lang w:val="uk-UA" w:eastAsia="ru-RU"/>
                    </w:rPr>
                    <w:t>Технології п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ідгот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в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ки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експертн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ого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висновк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>у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 xml:space="preserve"> щодо якості</w:t>
                  </w:r>
                  <w:r w:rsidRPr="00CA07BF">
                    <w:rPr>
                      <w:rFonts w:eastAsia="TimesNewRomanPSMT"/>
                      <w:lang w:val="uk-UA" w:eastAsia="ru-RU"/>
                    </w:rPr>
                    <w:t xml:space="preserve"> навчального посібника</w:t>
                  </w:r>
                  <w:r w:rsidRPr="001C756A">
                    <w:rPr>
                      <w:rFonts w:eastAsia="TimesNewRomanPSMT"/>
                      <w:lang w:val="ru-RU" w:eastAsia="ru-RU"/>
                    </w:rPr>
                    <w:t>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Організаційні форми і методи експертної діяльності у вищій освіті.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 Відбір організаційних форм та методів експертної діяльності.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Підготовка інструментарію для проведення експертизи.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Технологія проведення експертизи.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4)</w:t>
                  </w:r>
                  <w:r w:rsidRPr="00CA07BF">
                    <w:rPr>
                      <w:lang w:val="uk-UA"/>
                    </w:rPr>
                    <w:tab/>
                    <w:t>Статистичний аналіз результатів.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Підготовка звіту за результатами експертного оцінювання.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5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/>
                    </w:rPr>
                    <w:t>Нормативно-правове забезпечення якості вищої освіти ЄС та України.</w:t>
                  </w: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Документи ЄС щодо забезпечення якості освіти.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1.1. Рекомендації Європейського Парламенту і Ради ЄС від 23 квітня 2008 р. щодо затвердження Європейської рамки кваліфікацій для навчання впродовж життя (2008/С 111/01).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1.2. Стандарти і рекомендації щодо забезпечення якості в Європейському просторі вищої освіти, підготовлених для ухвалення на конференції Міністрів в Єревані, ухвалених 14-15 травня 2015 р.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1.3. «Towards Trust in Quality Assurance System» № 516935-TEMPUS-1-2011-1-FITEMPUS-SMGR, 15.10.2011-14.10.2014.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1.4. «Arbeitsprogramm Allgemeine und berufliche Bildung 2010» («Програма дій з освіти і навчання 2010»).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1.5. «Das Programm für Lebenslanges Lernen» («Програма безперервного навчання»).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1.6. «Strategischer Rahmen für die europäische Zusammenarbeit auf dem Gebiet der allgemeinen und beruflichen Bildung (ET 2020)» («Стратегічні рамки європейського співробітництва в галузі освіти і навчання (ЕТ 2020)»).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Болонська декларація: завдання і реалізація основних принципів.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Ліцензування та акредитація освітньої діяльності.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Нормативно-правове забезпечення якості освіти в Україні в контексті європейської інтеграції.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 xml:space="preserve">Поняття внутрішнього моніторингу. Мета. Задачі. Інструментарій. </w:t>
                  </w: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 Схеми і моделі моніторингових досліджень.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Переваги внутрішнього моніторингу якості вищої освіти.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Інструментарій внутрішнього моніторингу якості вищої освіти.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 xml:space="preserve">Рейтинги в моніторингових дослідженнях.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5)</w:t>
                  </w:r>
                  <w:r w:rsidRPr="00CA07BF">
                    <w:rPr>
                      <w:lang w:val="uk-UA"/>
                    </w:rPr>
                    <w:tab/>
                    <w:t>Моніторинг систем управління якістю вищих навчальних закладів за стандартами ISO 9000:2000.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7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Індикатори якості освіти у країнах ЄС.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Індикатори якості освіти (підходи до їх вибору та класифікації).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Огляд індикаторів якості освіти Організації економічного співробітництва і розвитку (ОЕСР). Характеристика системи освіти України за вказаними індикаторами.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Показники якості освіти, що використовуються ЮНЕСКО. Характеристика системи освіти України за вказаними індикаторами.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Технологія визначення Індексу людського розвитку.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Освітні індикатори, рекомендовані Радою з освіти Європейського Союзу. Характеристика системи освіти України за вказаними індикаторами.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Управління процесом упровадження освітніх інновацій у країнах ЄС.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Технологія розробки інноваційного освітнього проекту.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Експертиза інноваційного освітнього проекту.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Етапи впровадження освітніх інновацій у практику роботи навчального закладу.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Сучасні підходи до оцінювання ефективності впровадження освітніх інновацій у практику роботи навчального закладу.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Процедура проведення експертизи інноваційної діяльності навчального закладу та форма представлення її результатів.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міжнародних організацій у галузі проведення компаративістських досліджень з освіти.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Європейська асоціація із забезпечення якості вищої освіти (European Association for Quality Assurance in Higher Education).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Центральна і Східна Європейська мережа із забезпечення якості вищої освіти (Central and Eastern European Network for Quality Assurance in Higher Education) (CEENQA).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 xml:space="preserve">Міжнародна мережа агенцій із забезпечення якості вищої освіти (International Network for Quality Assurance Agencies in Higher </w:t>
                  </w:r>
                  <w:r w:rsidRPr="00CA07BF">
                    <w:rPr>
                      <w:lang w:val="uk-UA"/>
                    </w:rPr>
                    <w:lastRenderedPageBreak/>
                    <w:t>Education) (INQAAHE).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Європейська Асоціація установ вищої освіти (European Association of Institutions in Higher Education) (EURASHE)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Європейська асоціація університетів (European University Association) (EUA).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10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Австрії.</w:t>
                  </w: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Австрії: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Агентства із забезпечення якості і акредитації (Agency For Quality Assurance and Accreditation)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із забезпечення якості і акредитації (Agency For Quality Assurance and Accreditation)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Австрії.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Австрії.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Бельгії.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Бельгії: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 із забезпечення якості вищої освіти в Бельгії: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2.1. Агентство із забезпечення якості вищої освіти (Agency for Quality Assurance in Higher Education)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2.2. Відділ забезпечення якості Фламандської ради університетів та університетських коледжів (Flemish Council of Universities and University Colleges - Quality Assurance Unit)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із забезпечення якості вищої освіти (Agency for Quality Assurance in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Бельгії.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Бельгії.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12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Болгарії.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Болгарії: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Агентства із національної оцінки та акредитації (National Evaluation and Accreditation Agency)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із національної оцінки та акредитації (National Evaluation and Accreditation Agency)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Болгарії.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Болгарії.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Хорватії.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Хорватії: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Агентства з науки і вищої освіти (Agency for Science and Higher Education)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з науки і вищої освіти (Agency for Science and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Хорватії.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Хорватії.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Данії.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Данії: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Данського інституту з акредитації (The Danish Accreditation Institution)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Данського інституту з акредитації (The Danish Accreditation Institution)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Данії.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Данії.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Діяльність агенцій із забезпечення якості вищої освіти в Естонії.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в </w:t>
                  </w:r>
                  <w:r w:rsidRPr="00CA07BF">
                    <w:rPr>
                      <w:lang w:val="uk-UA"/>
                    </w:rPr>
                    <w:lastRenderedPageBreak/>
                    <w:t xml:space="preserve">Естонії: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Естонського агентства якості вищої та професійної освіти (Estonian Quality Agency for Higher and Vocational Education)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Естонського агентства якості вищої та професійної освіти (Estonian Quality Agency for Higher and Vocational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Естонії.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Естонії.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16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у Фінляндії.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у Фінляндії: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Ради з оцінки освіти в Фінляндії (Finnish Education Evaluation Council)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Ради з оцінки освіти в Фінляндії (Finnish Education Evaluation Council)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Фінляндії.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Фінляндії.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у Франції.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у Франції: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 із забезпечення якості освіти у Франції: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2.1. Вища рада з оцінки наукових досліджень і вищої освіти (High Council for the Evaluation of Research and Higher Education)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2.2. Інженерна комісія у Франції (Commission des Titres d'Ingénieur).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агенцій із забезпечення якості освіти у Франції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Франції.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Франції.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18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у Німеччині.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у Німеччині: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агенцій із забезпечення якості вищої освіти у Німеччині: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2.1. Інститут забезпечення якості, акредитації, сертифікації (Accreditation, Certification and Quality Assurance Institute).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2.2. Акредитаційне агентство з вивчення програм в галузі охорони здоров’я та соціальних наук (Accreditation Agency for Study Programmes in Health and Social Sciences).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2.3. Агентство із забезпечення якості за допомогою акредитації навчальних програм (Agency for Quality Assurance through Accreditation of Study Programmes).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2.4. Агентство федеральної землі Баден-Вюртемберг з оцінювання (Evaluation Agency of Baden-Württemberg).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2.5. Фонд міжнародного ділового адміністрування акредитації (Foundation for International Business Administration Accreditation).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2.6. Німецька рада з акредитації (German Accreditation Council).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2.7. Центральне агентство з оцінки та акредитації (Central Agency for Evaluation and Accreditation).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3. Етична політика агенцій із забезпечення якості освіти у Німеччині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4. Процедури акредитації у Німеччині.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5. Система управління якістю вищої освіти у Німеччині.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у Греції.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 xml:space="preserve">Якість вищої освіти у Греції: процедури внутрішнього та зовнішнього забезпечення.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 xml:space="preserve">Діяльність Агентства із забезпечення якості і акредитації (Hellenic Quality Assurance and </w:t>
                  </w:r>
                  <w:r w:rsidRPr="00CA07BF">
                    <w:rPr>
                      <w:lang w:val="uk-UA"/>
                    </w:rPr>
                    <w:lastRenderedPageBreak/>
                    <w:t xml:space="preserve">Accreditation Agency) (мета, обов’язки, склад та діяльність експертів, міжнародна діяльність). 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із забезпечення якості і акредитації (Hellenic Quality Assurance and Accreditation Agency)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Греції.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Греції.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20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Діяльність агенцій із забезпечення якості вищої освіти в Італії.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в Італії: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Агентства з оцінки та сприяння забезпеченню якості на Церковних факультетах (Agency for the Evaluation and Promotion of Quality in Ecclesiastical Faculties)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з оцінки та сприяння забезпеченню якості на Церковних факультетах (Agency for the Evaluation and Promotion of Quality in Ecclesiastical Faculties)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Італії.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Італії.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Республіки Угорщина.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в Угорщині: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Угорського комітету з акредитації (Hungarian Accreditation Committee, Budapest)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Угорського комітету з акредитації (Hungarian Accreditation Committee, Budapest)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Угорщині.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Угорщині.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Республіки Ірландія.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в Ірландії: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Агенства «Якість і кваліфікація Ірландії» (Quality and Qualifications Ireland)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Агенства «Якість і кваліфікація Ірландії» (Quality and Qualifications Ireland)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Ірландії.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Ірландії.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23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Литовської Республіки.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Литві: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Центру оцінки якості вищої освіти (Centre for Quality Assessment in Higher Education)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Центру оцінки якості вищої освіти (Centre for Quality Assessment in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Литві.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Литві.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Королівства Нідерландів.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Нідерландах: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агенцій із забезпечення якості вищої освіти у Нідерландах: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2.1. Акредитаційна організація Нідерландів і Фландрії (Accreditation Organisation of the Netherlands and Flanders).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2.2. Агентство «Забезпечення якості Нідерландських університетів» (Quality Assurance Netherlands Universities)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агенцій із забезпечення якості освіти у Нідерландах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Нідерландах.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Нідерландах.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25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Республіки Польща.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Польщі: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Польського акредитаційного комітету (Polish Accreditation Committee)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Польського акредитаційного комітету (Polish Accreditation Committee)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Польщі.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Польщі.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Португальської Республіки.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Португалії: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Агентства з оцінки та акредитації вищої освіти (Agency for Evaluation and Accreditation of Higher Education)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з оцінки та акредитації вищої освіти (Agency for Evaluation and Accreditation of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Португалії.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Португалії.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27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Румунії.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Румунії: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Агентства із забезпечення якості у вищій освіті (Agency for Quality Assurance in Higher Education)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Агентства із забезпечення якості у вищій освіті (Agency for Quality Assurance in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Румунії.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lastRenderedPageBreak/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Румунії.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28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Республіки Словенія.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Словенії: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Словенського агентства із забезпечення якості вищої освіти (Slovenian Quality Assurance Agency for Higher Education)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Словенського агентства із забезпечення якості вищої освіти (Slovenian Quality Assurance Agency for Higher Education)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Словенії.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Словенії.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t>29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Королівства Іспанія.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в Іспанії: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агентств із забезпечення якості вищої освіти в Іспанії: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2.1. Андалузьке агентство знань, Департамент оцінки та акредитації (Andalusian Agency of Knowledge, Department of Evaluation and Accreditation).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2.2. Арагонське агентство з оцінки якості та акредитації (Aragon Agency for Quality Assessment and Accreditation).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2.3. Агентство по забезпеченню якості для університетської системи у Кастилія-Леоні (Quality Assurance Agency for the University System in Castilla y León).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2.4. Агентство по забезпеченню якості в університетській системі Галіції (Agency for Quality Assurance in the Galician University System).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2.5. Національне агентство з оцінки якості та акредитації Іспанії (National Agency for Quality Assessment and Accreditation of Spain).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 xml:space="preserve">2.6. Агентство із забезпечення якості Каталонського університету </w:t>
                  </w:r>
                  <w:r w:rsidRPr="00CA07BF">
                    <w:rPr>
                      <w:lang w:val="uk-UA"/>
                    </w:rPr>
                    <w:lastRenderedPageBreak/>
                    <w:t>(Catalan University Quality Assurance Agency).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2.7. Мадридський фонд знань (Madrimasd Knowledge Foundation).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2.8. Агентство з якості університетської системи Баску (Agency for the Quality of the Basque University System)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pStyle w:val="affa"/>
                    <w:framePr w:hSpace="180" w:wrap="around" w:vAnchor="text" w:hAnchor="text" w:y="1"/>
                    <w:tabs>
                      <w:tab w:val="left" w:pos="1134"/>
                    </w:tabs>
                    <w:ind w:left="0"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агентств із забезпечення якості освіти в Іспанії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в Іспанії.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в Іспанії.</w:t>
                  </w:r>
                </w:p>
              </w:tc>
            </w:tr>
            <w:tr w:rsidR="001C756A" w:rsidRPr="00CA07BF" w:rsidTr="001C756A">
              <w:tc>
                <w:tcPr>
                  <w:tcW w:w="534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  <w:r w:rsidRPr="00CA07BF">
                    <w:rPr>
                      <w:lang w:val="uk-UA" w:eastAsia="ru-RU"/>
                    </w:rPr>
                    <w:lastRenderedPageBreak/>
                    <w:t>30</w:t>
                  </w:r>
                </w:p>
              </w:tc>
              <w:tc>
                <w:tcPr>
                  <w:tcW w:w="326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Забезпечення якості вищої освіти: досвід Сполученого Королівства Великої Британії та Північної Ірландії.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widowControl w:val="0"/>
                    <w:tabs>
                      <w:tab w:val="left" w:pos="142"/>
                      <w:tab w:val="left" w:pos="1134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040" w:type="dxa"/>
                </w:tcPr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1)</w:t>
                  </w:r>
                  <w:r w:rsidRPr="00CA07BF">
                    <w:rPr>
                      <w:lang w:val="uk-UA"/>
                    </w:rPr>
                    <w:tab/>
                    <w:t>Якість вищої освіти у Великій Британії: процедури внутрішнього та зовнішнього забезпечення.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2)</w:t>
                  </w:r>
                  <w:r w:rsidRPr="00CA07BF">
                    <w:rPr>
                      <w:lang w:val="uk-UA"/>
                    </w:rPr>
                    <w:tab/>
                    <w:t>Діяльність агенцій із забезпечення якості вищої освіти у Великій Британії: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2.1. Британська рада з акредитації (British Accreditation Council).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2.2. Агентство із забезпечення якості вищої освіти (Quality Assurance Agency for Higher Education) (мета, обов’язки, склад та діяльність експертів, міжнародна діяльність).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3)</w:t>
                  </w:r>
                  <w:r w:rsidRPr="00CA07BF">
                    <w:rPr>
                      <w:lang w:val="uk-UA"/>
                    </w:rPr>
                    <w:tab/>
                    <w:t>Етична політика агенцій із забезпечення якості освіти у Великій Британії (принципи, правила, рекомендації діяльності).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lang w:val="uk-UA"/>
                    </w:rPr>
                  </w:pPr>
                  <w:r w:rsidRPr="00CA07BF">
                    <w:rPr>
                      <w:lang w:val="uk-UA"/>
                    </w:rPr>
                    <w:t>4)</w:t>
                  </w:r>
                  <w:r w:rsidRPr="00CA07BF">
                    <w:rPr>
                      <w:lang w:val="uk-UA"/>
                    </w:rPr>
                    <w:tab/>
                    <w:t>Процедури акредитації у Великій Британії.</w:t>
                  </w:r>
                </w:p>
                <w:p w:rsidR="001C756A" w:rsidRPr="00CA07BF" w:rsidRDefault="001C756A" w:rsidP="001C756A">
                  <w:pPr>
                    <w:framePr w:hSpace="180" w:wrap="around" w:vAnchor="text" w:hAnchor="text" w:y="1"/>
                    <w:tabs>
                      <w:tab w:val="left" w:pos="1134"/>
                    </w:tabs>
                    <w:ind w:firstLine="567"/>
                    <w:suppressOverlap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A07BF">
                    <w:rPr>
                      <w:lang w:val="uk-UA"/>
                    </w:rPr>
                    <w:t>5)</w:t>
                  </w:r>
                  <w:r w:rsidRPr="00CA07BF">
                    <w:rPr>
                      <w:lang w:val="uk-UA"/>
                    </w:rPr>
                    <w:tab/>
                    <w:t>Система управління якістю вищої освіти у Великій Британії.</w:t>
                  </w:r>
                </w:p>
              </w:tc>
            </w:tr>
          </w:tbl>
          <w:p w:rsidR="00CD5ED3" w:rsidRPr="001C756A" w:rsidRDefault="00CD5ED3" w:rsidP="00270FCF">
            <w:pPr>
              <w:jc w:val="both"/>
              <w:rPr>
                <w:lang w:val="uk-UA"/>
              </w:rPr>
            </w:pPr>
          </w:p>
        </w:tc>
      </w:tr>
      <w:tr w:rsidR="00CD5ED3" w:rsidRPr="00270FCF" w:rsidTr="00CD5ED3">
        <w:trPr>
          <w:trHeight w:val="233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1C756A" w:rsidRDefault="00CD5ED3" w:rsidP="00270FC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ind w:left="180"/>
              <w:rPr>
                <w:b/>
                <w:lang w:val="en-US"/>
              </w:rPr>
            </w:pPr>
            <w:r w:rsidRPr="00270FCF">
              <w:rPr>
                <w:b/>
                <w:lang w:val="uk-UA"/>
              </w:rPr>
              <w:t>2017-2018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ind w:left="180"/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t>2018-2019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ind w:left="180"/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t>2019-2020 нр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ind w:left="180"/>
              <w:rPr>
                <w:b/>
                <w:lang w:val="en-US"/>
              </w:rPr>
            </w:pPr>
            <w:r w:rsidRPr="00270FCF">
              <w:rPr>
                <w:b/>
                <w:lang w:val="uk-UA"/>
              </w:rPr>
              <w:t>Всього</w:t>
            </w:r>
            <w:r w:rsidR="00CD5ED3" w:rsidRPr="00270FCF">
              <w:rPr>
                <w:b/>
                <w:lang w:val="en-US"/>
              </w:rPr>
              <w:t>:</w:t>
            </w:r>
          </w:p>
        </w:tc>
      </w:tr>
      <w:tr w:rsidR="00CD5ED3" w:rsidRPr="00270FCF" w:rsidTr="00CD5ED3">
        <w:trPr>
          <w:trHeight w:val="232"/>
        </w:trPr>
        <w:tc>
          <w:tcPr>
            <w:tcW w:w="1808" w:type="dxa"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2D622C" w:rsidP="00270FCF">
            <w:pPr>
              <w:rPr>
                <w:b/>
                <w:lang w:val="uk-UA"/>
              </w:rPr>
            </w:pPr>
            <w:r w:rsidRPr="00270FCF">
              <w:rPr>
                <w:b/>
                <w:lang w:val="uk-UA"/>
              </w:rPr>
              <w:t>К-сть год.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>60</w:t>
            </w:r>
          </w:p>
        </w:tc>
      </w:tr>
      <w:tr w:rsidR="003D3DA1" w:rsidRPr="00270FCF" w:rsidTr="00605DA7">
        <w:tc>
          <w:tcPr>
            <w:tcW w:w="9647" w:type="dxa"/>
            <w:gridSpan w:val="5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D3DA1" w:rsidRPr="00270FCF" w:rsidRDefault="003D3DA1" w:rsidP="00270FCF">
            <w:pPr>
              <w:ind w:left="180"/>
              <w:rPr>
                <w:lang w:val="en-US"/>
              </w:rPr>
            </w:pPr>
            <w:r w:rsidRPr="00270FCF">
              <w:rPr>
                <w:lang w:val="en-US"/>
              </w:rPr>
              <w:t xml:space="preserve">*** </w:t>
            </w:r>
          </w:p>
          <w:tbl>
            <w:tblPr>
              <w:tblStyle w:val="Text2"/>
              <w:tblW w:w="6903" w:type="dxa"/>
              <w:jc w:val="right"/>
              <w:tblInd w:w="180" w:type="dxa"/>
              <w:tblLayout w:type="fixed"/>
              <w:tblLook w:val="04A0"/>
            </w:tblPr>
            <w:tblGrid>
              <w:gridCol w:w="2284"/>
              <w:gridCol w:w="4619"/>
            </w:tblGrid>
            <w:tr w:rsidR="003D3DA1" w:rsidRPr="00270FCF" w:rsidTr="003D3DA1">
              <w:trPr>
                <w:jc w:val="right"/>
              </w:trPr>
              <w:tc>
                <w:tcPr>
                  <w:tcW w:w="2284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270FCF">
                    <w:rPr>
                      <w:lang w:val="en-US"/>
                    </w:rPr>
                    <w:t xml:space="preserve">№ </w:t>
                  </w:r>
                  <w:r w:rsidRPr="00270FCF">
                    <w:rPr>
                      <w:lang w:val="uk-UA"/>
                    </w:rPr>
                    <w:t>сем.</w:t>
                  </w:r>
                </w:p>
              </w:tc>
              <w:tc>
                <w:tcPr>
                  <w:tcW w:w="4619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ind w:left="0"/>
                    <w:suppressOverlap/>
                    <w:rPr>
                      <w:lang w:val="en-US"/>
                    </w:rPr>
                  </w:pPr>
                  <w:r w:rsidRPr="00270FCF">
                    <w:rPr>
                      <w:lang w:val="uk-UA"/>
                    </w:rPr>
                    <w:t xml:space="preserve">        </w:t>
                  </w:r>
                  <w:r w:rsidRPr="00270FCF">
                    <w:rPr>
                      <w:lang w:val="en-US"/>
                    </w:rPr>
                    <w:t>Timing</w:t>
                  </w:r>
                </w:p>
              </w:tc>
            </w:tr>
            <w:tr w:rsidR="003D3DA1" w:rsidRPr="00270FCF" w:rsidTr="003D3DA1">
              <w:trPr>
                <w:jc w:val="right"/>
              </w:trPr>
              <w:tc>
                <w:tcPr>
                  <w:tcW w:w="2284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1-8</w:t>
                  </w:r>
                </w:p>
              </w:tc>
              <w:tc>
                <w:tcPr>
                  <w:tcW w:w="4619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ind w:left="0"/>
                    <w:suppressOverlap/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1</w:t>
                  </w:r>
                  <w:r w:rsidRPr="00270FCF">
                    <w:rPr>
                      <w:i/>
                      <w:lang w:val="uk-UA"/>
                    </w:rPr>
                    <w:t xml:space="preserve"> р.</w:t>
                  </w:r>
                  <w:r w:rsidRPr="00270FCF">
                    <w:rPr>
                      <w:i/>
                      <w:lang w:val="en-US"/>
                    </w:rPr>
                    <w:t xml:space="preserve">, </w:t>
                  </w:r>
                  <w:r w:rsidRPr="00270FCF">
                    <w:rPr>
                      <w:i/>
                      <w:lang w:val="uk-UA"/>
                    </w:rPr>
                    <w:t>1 семестр</w:t>
                  </w:r>
                </w:p>
              </w:tc>
            </w:tr>
            <w:tr w:rsidR="003D3DA1" w:rsidRPr="00270FCF" w:rsidTr="003D3DA1">
              <w:trPr>
                <w:jc w:val="right"/>
              </w:trPr>
              <w:tc>
                <w:tcPr>
                  <w:tcW w:w="2284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9-20</w:t>
                  </w:r>
                </w:p>
              </w:tc>
              <w:tc>
                <w:tcPr>
                  <w:tcW w:w="4619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ind w:left="0"/>
                    <w:suppressOverlap/>
                    <w:rPr>
                      <w:lang w:val="uk-UA"/>
                    </w:rPr>
                  </w:pPr>
                  <w:r w:rsidRPr="00270FCF">
                    <w:rPr>
                      <w:i/>
                      <w:lang w:val="en-US"/>
                    </w:rPr>
                    <w:t xml:space="preserve">2 </w:t>
                  </w:r>
                  <w:r w:rsidRPr="00270FCF">
                    <w:rPr>
                      <w:i/>
                      <w:lang w:val="uk-UA"/>
                    </w:rPr>
                    <w:t>р.</w:t>
                  </w:r>
                  <w:r w:rsidRPr="00270FCF">
                    <w:rPr>
                      <w:i/>
                      <w:lang w:val="en-US"/>
                    </w:rPr>
                    <w:t>, 1</w:t>
                  </w:r>
                  <w:r w:rsidRPr="00270FCF">
                    <w:rPr>
                      <w:i/>
                      <w:vertAlign w:val="superscript"/>
                      <w:lang w:val="uk-UA"/>
                    </w:rPr>
                    <w:t xml:space="preserve"> </w:t>
                  </w:r>
                  <w:r w:rsidRPr="00270FCF">
                    <w:rPr>
                      <w:i/>
                      <w:lang w:val="uk-UA"/>
                    </w:rPr>
                    <w:t>семестр</w:t>
                  </w:r>
                </w:p>
              </w:tc>
            </w:tr>
            <w:tr w:rsidR="003D3DA1" w:rsidRPr="00270FCF" w:rsidTr="003D3DA1">
              <w:trPr>
                <w:jc w:val="right"/>
              </w:trPr>
              <w:tc>
                <w:tcPr>
                  <w:tcW w:w="2284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suppressOverlap/>
                    <w:rPr>
                      <w:lang w:val="en-US"/>
                    </w:rPr>
                  </w:pPr>
                  <w:r w:rsidRPr="00270FCF">
                    <w:rPr>
                      <w:i/>
                      <w:lang w:val="en-US"/>
                    </w:rPr>
                    <w:t>21-30</w:t>
                  </w:r>
                </w:p>
              </w:tc>
              <w:tc>
                <w:tcPr>
                  <w:tcW w:w="4619" w:type="dxa"/>
                </w:tcPr>
                <w:p w:rsidR="003D3DA1" w:rsidRPr="00270FCF" w:rsidRDefault="003D3DA1" w:rsidP="00270FCF">
                  <w:pPr>
                    <w:framePr w:hSpace="180" w:wrap="around" w:vAnchor="text" w:hAnchor="text" w:y="1"/>
                    <w:ind w:left="0"/>
                    <w:suppressOverlap/>
                    <w:rPr>
                      <w:lang w:val="uk-UA"/>
                    </w:rPr>
                  </w:pPr>
                  <w:r w:rsidRPr="00270FCF">
                    <w:rPr>
                      <w:i/>
                      <w:lang w:val="en-US"/>
                    </w:rPr>
                    <w:t xml:space="preserve">3 </w:t>
                  </w:r>
                  <w:r w:rsidRPr="00270FCF">
                    <w:rPr>
                      <w:i/>
                      <w:lang w:val="uk-UA"/>
                    </w:rPr>
                    <w:t>р.</w:t>
                  </w:r>
                  <w:r w:rsidRPr="00270FCF">
                    <w:rPr>
                      <w:i/>
                      <w:lang w:val="en-US"/>
                    </w:rPr>
                    <w:t>, 1</w:t>
                  </w:r>
                  <w:r w:rsidRPr="00270FCF">
                    <w:rPr>
                      <w:i/>
                      <w:vertAlign w:val="superscript"/>
                      <w:lang w:val="uk-UA"/>
                    </w:rPr>
                    <w:t xml:space="preserve"> </w:t>
                  </w:r>
                  <w:r w:rsidRPr="00270FCF">
                    <w:rPr>
                      <w:i/>
                      <w:lang w:val="uk-UA"/>
                    </w:rPr>
                    <w:t>семестр</w:t>
                  </w:r>
                </w:p>
              </w:tc>
            </w:tr>
          </w:tbl>
          <w:p w:rsidR="003D3DA1" w:rsidRPr="00270FCF" w:rsidRDefault="003D3DA1" w:rsidP="00270FCF">
            <w:pPr>
              <w:rPr>
                <w:lang w:val="en-US"/>
              </w:rPr>
            </w:pPr>
          </w:p>
        </w:tc>
      </w:tr>
    </w:tbl>
    <w:p w:rsidR="00CD5ED3" w:rsidRPr="00270FCF" w:rsidRDefault="00CD5ED3" w:rsidP="00270FCF">
      <w:pPr>
        <w:ind w:right="-136"/>
        <w:rPr>
          <w:b/>
        </w:rPr>
      </w:pPr>
    </w:p>
    <w:p w:rsidR="00AC1518" w:rsidRPr="00270FCF" w:rsidRDefault="00AC1518" w:rsidP="00270FCF"/>
    <w:p w:rsidR="00AC1518" w:rsidRPr="00270FCF" w:rsidRDefault="00AC1518" w:rsidP="00270FCF"/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1744"/>
        <w:gridCol w:w="1701"/>
        <w:gridCol w:w="1701"/>
        <w:gridCol w:w="2693"/>
      </w:tblGrid>
      <w:tr w:rsidR="00270FCF" w:rsidRPr="00270FCF" w:rsidTr="00605DA7">
        <w:tc>
          <w:tcPr>
            <w:tcW w:w="9647" w:type="dxa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70FCF" w:rsidRPr="00270FCF" w:rsidRDefault="00270FCF" w:rsidP="00270FCF">
            <w:pPr>
              <w:rPr>
                <w:b/>
                <w:bCs/>
                <w:lang w:val="uk-UA"/>
              </w:rPr>
            </w:pPr>
          </w:p>
          <w:p w:rsidR="003F5F15" w:rsidRDefault="003F5F15" w:rsidP="00270FCF">
            <w:pPr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3F5F15" w:rsidRDefault="003F5F15" w:rsidP="00270FCF">
            <w:pPr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3F5F15" w:rsidRDefault="003F5F15" w:rsidP="00270FCF">
            <w:pPr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3F5F15" w:rsidRDefault="003F5F15" w:rsidP="00270FCF">
            <w:pPr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</w:p>
          <w:p w:rsidR="00270FCF" w:rsidRPr="007F1E30" w:rsidRDefault="00270FCF" w:rsidP="00270FCF">
            <w:pPr>
              <w:jc w:val="center"/>
              <w:rPr>
                <w:b/>
                <w:bCs/>
                <w:color w:val="C00000"/>
                <w:sz w:val="28"/>
                <w:szCs w:val="28"/>
                <w:lang w:val="uk-UA"/>
              </w:rPr>
            </w:pPr>
            <w:r w:rsidRPr="007F1E30">
              <w:rPr>
                <w:b/>
                <w:bCs/>
                <w:color w:val="C00000"/>
                <w:sz w:val="28"/>
                <w:szCs w:val="28"/>
                <w:lang w:val="uk-UA"/>
              </w:rPr>
              <w:t>ТРЕНІНГИ</w:t>
            </w:r>
          </w:p>
          <w:p w:rsidR="00270FCF" w:rsidRPr="00270FCF" w:rsidRDefault="00270FCF" w:rsidP="00270FCF">
            <w:pPr>
              <w:rPr>
                <w:b/>
                <w:bCs/>
                <w:lang w:val="uk-UA"/>
              </w:rPr>
            </w:pPr>
          </w:p>
          <w:p w:rsidR="00270FCF" w:rsidRPr="00270FCF" w:rsidRDefault="00270FCF" w:rsidP="00270FCF">
            <w:pPr>
              <w:ind w:left="180"/>
              <w:rPr>
                <w:lang w:val="uk-UA"/>
              </w:rPr>
            </w:pPr>
          </w:p>
        </w:tc>
      </w:tr>
      <w:tr w:rsidR="00CD5ED3" w:rsidRPr="007F1E30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7F1E30" w:rsidRDefault="007F1E30" w:rsidP="00270FC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</w:t>
            </w:r>
            <w:r w:rsidR="003F5F15">
              <w:rPr>
                <w:b/>
                <w:bCs/>
                <w:lang w:val="uk-UA"/>
              </w:rPr>
              <w:t xml:space="preserve">   </w:t>
            </w:r>
            <w:r w:rsidR="005E5C71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Теми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Рекомендації щодо забезпечення якості вищої освіти: досвід ЄС.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Критерії і показники ефективності діяльності експерта з якості освіти у країнах ЄС.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Методи та технології експертного супроводу забезпечення якості вищої освіти у країнах ЄС.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Процедура акредитації: досвід ЄС.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Діяльність експерта з акредитації.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Індикатори якості освіти у країнах ЄС.</w:t>
            </w:r>
          </w:p>
          <w:p w:rsid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lang w:val="uk-UA"/>
              </w:rPr>
            </w:pPr>
            <w:r w:rsidRPr="007F1E30">
              <w:rPr>
                <w:lang w:val="uk-UA"/>
              </w:rPr>
              <w:t>Експертиза навчальних програм.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b/>
                <w:lang w:val="ru-RU"/>
              </w:rPr>
            </w:pPr>
            <w:r w:rsidRPr="007F1E30">
              <w:rPr>
                <w:lang w:val="uk-UA"/>
              </w:rPr>
              <w:t>Експертиза інновацій для забезпечення я</w:t>
            </w:r>
            <w:r>
              <w:rPr>
                <w:lang w:val="uk-UA"/>
              </w:rPr>
              <w:t>кості вищої освіти у країнах ЄС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1134"/>
              </w:tabs>
              <w:ind w:left="327" w:hanging="284"/>
              <w:jc w:val="both"/>
              <w:rPr>
                <w:b/>
                <w:lang w:val="ru-RU"/>
              </w:rPr>
            </w:pPr>
            <w:r w:rsidRPr="007F1E30">
              <w:rPr>
                <w:lang w:val="uk-UA"/>
              </w:rPr>
              <w:t>Методологія порівняльних досліджень. Параметри експертизи освітніх систем, явищ, процесів</w:t>
            </w:r>
            <w:r>
              <w:rPr>
                <w:lang w:val="uk-UA"/>
              </w:rPr>
              <w:t>.</w:t>
            </w:r>
          </w:p>
          <w:p w:rsidR="007F1E30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468"/>
              </w:tabs>
              <w:ind w:left="327" w:hanging="284"/>
              <w:jc w:val="both"/>
              <w:rPr>
                <w:b/>
                <w:lang w:val="ru-RU"/>
              </w:rPr>
            </w:pPr>
            <w:r w:rsidRPr="007F1E30">
              <w:rPr>
                <w:lang w:val="uk-UA"/>
              </w:rPr>
              <w:t>Етичний кодекс експерта у галузі освіти</w:t>
            </w:r>
            <w:r>
              <w:rPr>
                <w:lang w:val="uk-UA"/>
              </w:rPr>
              <w:t>.</w:t>
            </w:r>
          </w:p>
          <w:p w:rsidR="00CD5ED3" w:rsidRPr="007F1E30" w:rsidRDefault="007F1E30" w:rsidP="006B7715">
            <w:pPr>
              <w:pStyle w:val="affa"/>
              <w:numPr>
                <w:ilvl w:val="0"/>
                <w:numId w:val="33"/>
              </w:numPr>
              <w:tabs>
                <w:tab w:val="left" w:pos="468"/>
              </w:tabs>
              <w:ind w:left="327" w:hanging="284"/>
              <w:jc w:val="both"/>
              <w:rPr>
                <w:b/>
                <w:lang w:val="ru-RU"/>
              </w:rPr>
            </w:pPr>
            <w:r w:rsidRPr="007F1E30">
              <w:rPr>
                <w:lang w:val="uk-UA"/>
              </w:rPr>
              <w:t>Діяльність агенцій із забезпечення якості вищої освіти у країнах ЄС</w:t>
            </w:r>
            <w:r>
              <w:rPr>
                <w:lang w:val="uk-UA"/>
              </w:rPr>
              <w:t>.</w:t>
            </w:r>
          </w:p>
        </w:tc>
      </w:tr>
      <w:tr w:rsidR="00CD5ED3" w:rsidRPr="003F5F15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5E5C71" w:rsidP="003F5F15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</w:t>
            </w:r>
            <w:r w:rsidR="003F5F15">
              <w:rPr>
                <w:b/>
                <w:lang w:val="uk-UA"/>
              </w:rPr>
              <w:t>Викладачі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F5F15" w:rsidRDefault="003F5F15" w:rsidP="00270FCF">
            <w:pPr>
              <w:ind w:left="180"/>
              <w:rPr>
                <w:b/>
                <w:lang w:val="uk-UA" w:eastAsia="ru-RU"/>
              </w:rPr>
            </w:pPr>
          </w:p>
          <w:p w:rsidR="003F5F15" w:rsidRDefault="003F5F15" w:rsidP="00270FCF">
            <w:pPr>
              <w:ind w:left="180"/>
              <w:rPr>
                <w:lang w:val="uk-UA" w:eastAsia="ru-RU"/>
              </w:rPr>
            </w:pPr>
            <w:r w:rsidRPr="003F5F15">
              <w:rPr>
                <w:b/>
                <w:lang w:val="uk-UA" w:eastAsia="ru-RU"/>
              </w:rPr>
              <w:t>Козак Л.В.,</w:t>
            </w:r>
            <w:r>
              <w:rPr>
                <w:lang w:val="uk-UA" w:eastAsia="ru-RU"/>
              </w:rPr>
              <w:t xml:space="preserve"> док.пед.н., доцент</w:t>
            </w:r>
          </w:p>
          <w:p w:rsidR="00CD5ED3" w:rsidRDefault="003F5F15" w:rsidP="003F5F15">
            <w:pPr>
              <w:ind w:left="180"/>
              <w:rPr>
                <w:lang w:val="uk-UA" w:eastAsia="ru-RU"/>
              </w:rPr>
            </w:pPr>
            <w:r w:rsidRPr="003F5F15">
              <w:rPr>
                <w:b/>
                <w:lang w:val="uk-UA" w:eastAsia="ru-RU"/>
              </w:rPr>
              <w:t>Мосьпан Н.В.,</w:t>
            </w:r>
            <w:r>
              <w:rPr>
                <w:lang w:val="uk-UA" w:eastAsia="ru-RU"/>
              </w:rPr>
              <w:t xml:space="preserve"> канд..пед.н., доцент </w:t>
            </w:r>
          </w:p>
          <w:p w:rsidR="003F5F15" w:rsidRPr="003F5F15" w:rsidRDefault="003F5F15" w:rsidP="003F5F15">
            <w:pPr>
              <w:ind w:left="180"/>
              <w:rPr>
                <w:lang w:val="uk-UA"/>
              </w:rPr>
            </w:pPr>
          </w:p>
        </w:tc>
      </w:tr>
      <w:tr w:rsidR="00CD5ED3" w:rsidRPr="00270FCF" w:rsidTr="00CD5ED3">
        <w:trPr>
          <w:trHeight w:val="233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3F5F15" w:rsidRDefault="00CD5ED3" w:rsidP="00270FCF">
            <w:pPr>
              <w:rPr>
                <w:b/>
                <w:lang w:val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Default="003F5F15" w:rsidP="003F5F15">
            <w:pPr>
              <w:ind w:left="18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2017-2018 нр</w:t>
            </w:r>
          </w:p>
          <w:p w:rsidR="00637636" w:rsidRPr="00270FCF" w:rsidRDefault="00637636" w:rsidP="003F5F15">
            <w:pPr>
              <w:ind w:left="180"/>
              <w:rPr>
                <w:b/>
              </w:rPr>
            </w:pPr>
            <w:r>
              <w:rPr>
                <w:i/>
                <w:lang w:val="uk-UA"/>
              </w:rPr>
              <w:t>ІІ</w:t>
            </w:r>
            <w:r w:rsidRPr="00270FCF">
              <w:rPr>
                <w:i/>
                <w:lang w:val="uk-UA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Default="003F5F15" w:rsidP="003F5F15">
            <w:pPr>
              <w:ind w:left="18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2018-2019 нр</w:t>
            </w:r>
          </w:p>
          <w:p w:rsidR="00637636" w:rsidRPr="00270FCF" w:rsidRDefault="00637636" w:rsidP="003F5F15">
            <w:pPr>
              <w:ind w:left="180"/>
              <w:rPr>
                <w:b/>
              </w:rPr>
            </w:pPr>
            <w:r>
              <w:rPr>
                <w:i/>
                <w:lang w:val="uk-UA"/>
              </w:rPr>
              <w:t>ІІ</w:t>
            </w:r>
            <w:r w:rsidRPr="00270FCF">
              <w:rPr>
                <w:i/>
                <w:lang w:val="uk-UA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3F5F15" w:rsidP="003F5F15">
            <w:pPr>
              <w:ind w:left="180"/>
              <w:rPr>
                <w:b/>
              </w:rPr>
            </w:pPr>
            <w:r>
              <w:rPr>
                <w:b/>
                <w:lang w:val="uk-UA"/>
              </w:rPr>
              <w:t>2019-2020 нр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3F5F15" w:rsidP="003F5F15">
            <w:pPr>
              <w:ind w:left="180"/>
              <w:rPr>
                <w:b/>
              </w:rPr>
            </w:pPr>
            <w:r>
              <w:rPr>
                <w:b/>
                <w:lang w:val="uk-UA"/>
              </w:rPr>
              <w:t>Всього</w:t>
            </w:r>
            <w:r w:rsidR="00CD5ED3" w:rsidRPr="00270FCF">
              <w:rPr>
                <w:b/>
              </w:rPr>
              <w:t>:</w:t>
            </w:r>
          </w:p>
        </w:tc>
      </w:tr>
      <w:tr w:rsidR="00CD5ED3" w:rsidRPr="00270FCF" w:rsidTr="00CD5ED3">
        <w:trPr>
          <w:trHeight w:val="232"/>
        </w:trPr>
        <w:tc>
          <w:tcPr>
            <w:tcW w:w="1808" w:type="dxa"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3F5F15" w:rsidRDefault="005E5C71" w:rsidP="003F5F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="003F5F15">
              <w:rPr>
                <w:b/>
                <w:lang w:val="uk-UA"/>
              </w:rPr>
              <w:t>К-сть год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44</w:t>
            </w:r>
          </w:p>
        </w:tc>
      </w:tr>
      <w:tr w:rsidR="003F5F15" w:rsidRPr="00270FCF" w:rsidTr="00605DA7">
        <w:tc>
          <w:tcPr>
            <w:tcW w:w="9647" w:type="dxa"/>
            <w:gridSpan w:val="5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F5F15" w:rsidRPr="00270FCF" w:rsidRDefault="003F5F15" w:rsidP="003F5F15"/>
        </w:tc>
      </w:tr>
      <w:tr w:rsidR="00A67A5B" w:rsidRPr="00270FCF" w:rsidTr="00605DA7">
        <w:tc>
          <w:tcPr>
            <w:tcW w:w="9647" w:type="dxa"/>
            <w:gridSpan w:val="5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A67A5B" w:rsidRDefault="00A67A5B" w:rsidP="00A67A5B">
            <w:pPr>
              <w:ind w:left="180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  <w:p w:rsidR="00A67A5B" w:rsidRDefault="00A67A5B" w:rsidP="00A67A5B">
            <w:pPr>
              <w:ind w:left="180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A67A5B">
              <w:rPr>
                <w:b/>
                <w:color w:val="C00000"/>
                <w:sz w:val="28"/>
                <w:szCs w:val="28"/>
                <w:lang w:val="uk-UA"/>
              </w:rPr>
              <w:t>ІНТЕНСИВИ</w:t>
            </w:r>
          </w:p>
          <w:p w:rsidR="00A67A5B" w:rsidRPr="00A67A5B" w:rsidRDefault="00A67A5B" w:rsidP="00A67A5B">
            <w:pPr>
              <w:ind w:left="180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CD5ED3" w:rsidRPr="00605DA7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605DA7" w:rsidRDefault="00605DA7" w:rsidP="00270FC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Теми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605DA7" w:rsidRPr="00605DA7" w:rsidRDefault="00605DA7" w:rsidP="006B7715">
            <w:pPr>
              <w:pStyle w:val="affa"/>
              <w:numPr>
                <w:ilvl w:val="0"/>
                <w:numId w:val="37"/>
              </w:numPr>
              <w:ind w:left="468"/>
              <w:jc w:val="both"/>
              <w:rPr>
                <w:b/>
                <w:lang w:val="uk-UA"/>
              </w:rPr>
            </w:pPr>
            <w:r w:rsidRPr="00605DA7">
              <w:rPr>
                <w:b/>
                <w:lang w:val="uk-UA"/>
              </w:rPr>
              <w:t xml:space="preserve">Перспективні напрями використання досвіду країн Північної Європи із забезпечення якості вищої освіти в Україні </w:t>
            </w:r>
            <w:r w:rsidRPr="00605DA7">
              <w:rPr>
                <w:lang w:val="uk-UA"/>
              </w:rPr>
              <w:t>(Королівства Данія, Литовської Республіки, Фінляндської Республіки, Республіки Естонія)</w:t>
            </w:r>
          </w:p>
          <w:p w:rsidR="00605DA7" w:rsidRPr="00605DA7" w:rsidRDefault="00605DA7" w:rsidP="006B7715">
            <w:pPr>
              <w:pStyle w:val="affa"/>
              <w:numPr>
                <w:ilvl w:val="0"/>
                <w:numId w:val="37"/>
              </w:numPr>
              <w:ind w:left="468"/>
              <w:jc w:val="both"/>
              <w:rPr>
                <w:b/>
                <w:lang w:val="uk-UA"/>
              </w:rPr>
            </w:pPr>
            <w:r w:rsidRPr="00605DA7">
              <w:rPr>
                <w:b/>
                <w:lang w:val="uk-UA"/>
              </w:rPr>
              <w:t xml:space="preserve">Перспективні напрями використання досвіду країн Південної Європи із забезпечення якості вищої освіти в Україні </w:t>
            </w:r>
            <w:r w:rsidRPr="00605DA7">
              <w:rPr>
                <w:lang w:val="uk-UA"/>
              </w:rPr>
              <w:t>(Грецької Республіки, Італійської Республіки, Португальської Республіки, Республіки Словенія, Королівства Іспанія, Республіки Хорватія)</w:t>
            </w:r>
          </w:p>
          <w:p w:rsidR="00CD5ED3" w:rsidRPr="00605DA7" w:rsidRDefault="00605DA7" w:rsidP="006B7715">
            <w:pPr>
              <w:pStyle w:val="affa"/>
              <w:numPr>
                <w:ilvl w:val="0"/>
                <w:numId w:val="37"/>
              </w:numPr>
              <w:ind w:left="468"/>
              <w:jc w:val="both"/>
              <w:rPr>
                <w:b/>
                <w:lang w:val="uk-UA"/>
              </w:rPr>
            </w:pPr>
            <w:r w:rsidRPr="00605DA7">
              <w:rPr>
                <w:b/>
                <w:lang w:val="uk-UA"/>
              </w:rPr>
              <w:t xml:space="preserve">Перспективні напрями використання досвіду країн Західної Європи із забезпечення якості вищої освіти в Україні </w:t>
            </w:r>
            <w:r w:rsidRPr="00605DA7">
              <w:rPr>
                <w:lang w:val="uk-UA"/>
              </w:rPr>
              <w:t>(Австрійської Республіки, Королівства Бельгія, Сполученого Королівства Великої Британії та Північної Ірландії, Федеративної Республіки Німеччини, Республіки Ірландія, Французької Республіки, Королівства Нідерландів)</w:t>
            </w:r>
          </w:p>
          <w:p w:rsidR="00605DA7" w:rsidRPr="00605DA7" w:rsidRDefault="00605DA7" w:rsidP="006B7715">
            <w:pPr>
              <w:pStyle w:val="affa"/>
              <w:numPr>
                <w:ilvl w:val="0"/>
                <w:numId w:val="37"/>
              </w:numPr>
              <w:ind w:left="468"/>
              <w:jc w:val="both"/>
              <w:rPr>
                <w:b/>
                <w:sz w:val="22"/>
                <w:szCs w:val="22"/>
                <w:lang w:val="uk-UA"/>
              </w:rPr>
            </w:pPr>
            <w:r w:rsidRPr="00605DA7">
              <w:rPr>
                <w:b/>
                <w:lang w:val="uk-UA"/>
              </w:rPr>
              <w:t xml:space="preserve">Перспективні напрями використання досвіду країн Східної Європи із забезпечення якості вищої освіти в Україні </w:t>
            </w:r>
            <w:r w:rsidRPr="00605DA7">
              <w:rPr>
                <w:lang w:val="uk-UA"/>
              </w:rPr>
              <w:t>(Республіки Болгарія, Республіки Угорщина, Республіки Польща, Румунії)</w:t>
            </w:r>
          </w:p>
        </w:tc>
      </w:tr>
      <w:tr w:rsidR="00CD5ED3" w:rsidRPr="000030A7" w:rsidTr="00CD5ED3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5E5C71" w:rsidP="00605DA7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</w:t>
            </w:r>
            <w:r w:rsidR="00605DA7">
              <w:rPr>
                <w:b/>
                <w:lang w:val="uk-UA"/>
              </w:rPr>
              <w:t>Викладачі</w:t>
            </w:r>
          </w:p>
        </w:tc>
        <w:tc>
          <w:tcPr>
            <w:tcW w:w="783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241019" w:rsidRDefault="00241019" w:rsidP="00270FCF">
            <w:pPr>
              <w:ind w:left="180"/>
              <w:rPr>
                <w:b/>
                <w:bCs/>
                <w:lang w:val="uk-UA"/>
              </w:rPr>
            </w:pPr>
          </w:p>
          <w:p w:rsidR="00605DA7" w:rsidRDefault="00605DA7" w:rsidP="00270FCF">
            <w:pPr>
              <w:ind w:left="180"/>
              <w:rPr>
                <w:bCs/>
                <w:lang w:val="uk-UA"/>
              </w:rPr>
            </w:pPr>
            <w:r w:rsidRPr="000030A7">
              <w:rPr>
                <w:b/>
                <w:bCs/>
                <w:lang w:val="uk-UA"/>
              </w:rPr>
              <w:t>Локшина О.І.,</w:t>
            </w:r>
            <w:r w:rsidR="000030A7">
              <w:rPr>
                <w:bCs/>
                <w:lang w:val="uk-UA"/>
              </w:rPr>
              <w:t xml:space="preserve"> док.пед.н.,</w:t>
            </w:r>
          </w:p>
          <w:p w:rsidR="000030A7" w:rsidRDefault="00605DA7" w:rsidP="00D32378">
            <w:pPr>
              <w:ind w:left="180"/>
              <w:rPr>
                <w:bCs/>
                <w:lang w:val="uk-UA"/>
              </w:rPr>
            </w:pPr>
            <w:r w:rsidRPr="000030A7">
              <w:rPr>
                <w:b/>
                <w:bCs/>
                <w:lang w:val="uk-UA"/>
              </w:rPr>
              <w:t>Соколова І.В.,</w:t>
            </w:r>
            <w:r>
              <w:rPr>
                <w:bCs/>
                <w:lang w:val="uk-UA"/>
              </w:rPr>
              <w:t xml:space="preserve"> </w:t>
            </w:r>
            <w:r w:rsidR="000030A7">
              <w:rPr>
                <w:bCs/>
                <w:lang w:val="uk-UA"/>
              </w:rPr>
              <w:t>док.пед.н., професор</w:t>
            </w:r>
          </w:p>
          <w:p w:rsidR="00241019" w:rsidRPr="00D32378" w:rsidRDefault="00241019" w:rsidP="00D32378">
            <w:pPr>
              <w:ind w:left="180"/>
              <w:rPr>
                <w:bCs/>
                <w:lang w:val="uk-UA"/>
              </w:rPr>
            </w:pPr>
          </w:p>
        </w:tc>
      </w:tr>
      <w:tr w:rsidR="00CD5ED3" w:rsidRPr="00270FCF" w:rsidTr="00D32378">
        <w:trPr>
          <w:trHeight w:val="562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Default="005E5C71" w:rsidP="00270F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0030A7">
              <w:rPr>
                <w:b/>
                <w:lang w:val="uk-UA"/>
              </w:rPr>
              <w:t>К-сть год</w:t>
            </w:r>
          </w:p>
          <w:p w:rsidR="000030A7" w:rsidRPr="000030A7" w:rsidRDefault="000030A7" w:rsidP="00270FCF">
            <w:pPr>
              <w:rPr>
                <w:b/>
                <w:lang w:val="uk-UA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5E5C71" w:rsidP="00D32378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</w:t>
            </w:r>
            <w:r w:rsidR="000030A7">
              <w:rPr>
                <w:b/>
                <w:lang w:val="uk-UA"/>
              </w:rPr>
              <w:t>2017-2018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0030A7" w:rsidP="000030A7">
            <w:pPr>
              <w:ind w:left="180"/>
              <w:rPr>
                <w:b/>
              </w:rPr>
            </w:pPr>
            <w:r>
              <w:rPr>
                <w:b/>
                <w:lang w:val="uk-UA"/>
              </w:rPr>
              <w:t>2018-2019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Default="000030A7" w:rsidP="000030A7">
            <w:pPr>
              <w:ind w:left="18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2019-2020 нр</w:t>
            </w:r>
          </w:p>
          <w:p w:rsidR="00D32378" w:rsidRPr="00D32378" w:rsidRDefault="00D32378" w:rsidP="000030A7">
            <w:pPr>
              <w:ind w:left="18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ІІ семестр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Default="00D32378" w:rsidP="00D323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  <w:r w:rsidR="00CD5ED3" w:rsidRPr="00270FCF">
              <w:rPr>
                <w:b/>
              </w:rPr>
              <w:t>:</w:t>
            </w:r>
          </w:p>
          <w:p w:rsidR="00D32378" w:rsidRPr="00D32378" w:rsidRDefault="00D32378" w:rsidP="00D32378">
            <w:pPr>
              <w:ind w:left="180"/>
              <w:rPr>
                <w:b/>
                <w:lang w:val="uk-UA"/>
              </w:rPr>
            </w:pPr>
          </w:p>
        </w:tc>
      </w:tr>
      <w:tr w:rsidR="00CD5ED3" w:rsidRPr="00270FCF" w:rsidTr="00CD5ED3">
        <w:trPr>
          <w:trHeight w:val="232"/>
        </w:trPr>
        <w:tc>
          <w:tcPr>
            <w:tcW w:w="1808" w:type="dxa"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D5ED3" w:rsidRPr="00270FCF" w:rsidRDefault="00CD5ED3" w:rsidP="00270FCF">
            <w:pPr>
              <w:ind w:left="180"/>
            </w:pPr>
            <w:r w:rsidRPr="00270FCF">
              <w:t>16</w:t>
            </w:r>
          </w:p>
        </w:tc>
      </w:tr>
    </w:tbl>
    <w:p w:rsidR="00AA36F9" w:rsidRPr="00270FCF" w:rsidRDefault="00AA36F9" w:rsidP="00270FCF"/>
    <w:sectPr w:rsidR="00AA36F9" w:rsidRPr="00270FCF" w:rsidSect="003F1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15" w:rsidRDefault="006B7715" w:rsidP="00CD5ED3">
      <w:r>
        <w:separator/>
      </w:r>
    </w:p>
  </w:endnote>
  <w:endnote w:type="continuationSeparator" w:id="0">
    <w:p w:rsidR="006B7715" w:rsidRDefault="006B7715" w:rsidP="00CD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15" w:rsidRDefault="006B7715" w:rsidP="00CD5ED3">
      <w:r>
        <w:separator/>
      </w:r>
    </w:p>
  </w:footnote>
  <w:footnote w:type="continuationSeparator" w:id="0">
    <w:p w:rsidR="006B7715" w:rsidRDefault="006B7715" w:rsidP="00CD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B77"/>
    <w:multiLevelType w:val="hybridMultilevel"/>
    <w:tmpl w:val="27925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417"/>
    <w:multiLevelType w:val="hybridMultilevel"/>
    <w:tmpl w:val="25963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11CF"/>
    <w:multiLevelType w:val="hybridMultilevel"/>
    <w:tmpl w:val="BBEE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4BC"/>
    <w:multiLevelType w:val="hybridMultilevel"/>
    <w:tmpl w:val="E6AC1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99B"/>
    <w:multiLevelType w:val="hybridMultilevel"/>
    <w:tmpl w:val="B0BA45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7543F"/>
    <w:multiLevelType w:val="hybridMultilevel"/>
    <w:tmpl w:val="58DC7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35DC"/>
    <w:multiLevelType w:val="hybridMultilevel"/>
    <w:tmpl w:val="E8489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6A7A"/>
    <w:multiLevelType w:val="hybridMultilevel"/>
    <w:tmpl w:val="13C4A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55BD"/>
    <w:multiLevelType w:val="hybridMultilevel"/>
    <w:tmpl w:val="E022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1D25"/>
    <w:multiLevelType w:val="hybridMultilevel"/>
    <w:tmpl w:val="ACD60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39BA"/>
    <w:multiLevelType w:val="hybridMultilevel"/>
    <w:tmpl w:val="CE4CF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5BD"/>
    <w:multiLevelType w:val="hybridMultilevel"/>
    <w:tmpl w:val="4AE0F5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D7DBA"/>
    <w:multiLevelType w:val="hybridMultilevel"/>
    <w:tmpl w:val="364C6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6222E"/>
    <w:multiLevelType w:val="hybridMultilevel"/>
    <w:tmpl w:val="1480E2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235180"/>
    <w:multiLevelType w:val="hybridMultilevel"/>
    <w:tmpl w:val="D1E49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5A17"/>
    <w:multiLevelType w:val="hybridMultilevel"/>
    <w:tmpl w:val="CF9AD3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7A105D"/>
    <w:multiLevelType w:val="hybridMultilevel"/>
    <w:tmpl w:val="D834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2C7F"/>
    <w:multiLevelType w:val="hybridMultilevel"/>
    <w:tmpl w:val="880CA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CD6885"/>
    <w:multiLevelType w:val="hybridMultilevel"/>
    <w:tmpl w:val="EFCAD3F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3D21C77"/>
    <w:multiLevelType w:val="hybridMultilevel"/>
    <w:tmpl w:val="529C8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82E3A"/>
    <w:multiLevelType w:val="hybridMultilevel"/>
    <w:tmpl w:val="2B108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BA73AF"/>
    <w:multiLevelType w:val="hybridMultilevel"/>
    <w:tmpl w:val="C9263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DD68F7"/>
    <w:multiLevelType w:val="hybridMultilevel"/>
    <w:tmpl w:val="25F8E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F6580"/>
    <w:multiLevelType w:val="hybridMultilevel"/>
    <w:tmpl w:val="73D0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E6734"/>
    <w:multiLevelType w:val="hybridMultilevel"/>
    <w:tmpl w:val="E1AAF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F16E0"/>
    <w:multiLevelType w:val="hybridMultilevel"/>
    <w:tmpl w:val="941C8EEA"/>
    <w:lvl w:ilvl="0" w:tplc="33DE4F0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5D63"/>
    <w:multiLevelType w:val="hybridMultilevel"/>
    <w:tmpl w:val="AE268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A0F65"/>
    <w:multiLevelType w:val="hybridMultilevel"/>
    <w:tmpl w:val="9EEEB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F6790"/>
    <w:multiLevelType w:val="hybridMultilevel"/>
    <w:tmpl w:val="AF6E8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7142D2"/>
    <w:multiLevelType w:val="hybridMultilevel"/>
    <w:tmpl w:val="69EE6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124B6"/>
    <w:multiLevelType w:val="hybridMultilevel"/>
    <w:tmpl w:val="13CE179A"/>
    <w:lvl w:ilvl="0" w:tplc="33DE4F04">
      <w:start w:val="1"/>
      <w:numFmt w:val="decimal"/>
      <w:lvlText w:val="%1."/>
      <w:lvlJc w:val="left"/>
      <w:pPr>
        <w:ind w:left="14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3F2D03"/>
    <w:multiLevelType w:val="hybridMultilevel"/>
    <w:tmpl w:val="F2C2A2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BA1573A"/>
    <w:multiLevelType w:val="hybridMultilevel"/>
    <w:tmpl w:val="2C6A4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51DF2"/>
    <w:multiLevelType w:val="hybridMultilevel"/>
    <w:tmpl w:val="E3DAC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036EC"/>
    <w:multiLevelType w:val="hybridMultilevel"/>
    <w:tmpl w:val="62BC5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B451B"/>
    <w:multiLevelType w:val="hybridMultilevel"/>
    <w:tmpl w:val="C3E4A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46A56"/>
    <w:multiLevelType w:val="hybridMultilevel"/>
    <w:tmpl w:val="8744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8"/>
  </w:num>
  <w:num w:numId="5">
    <w:abstractNumId w:val="32"/>
  </w:num>
  <w:num w:numId="6">
    <w:abstractNumId w:val="15"/>
  </w:num>
  <w:num w:numId="7">
    <w:abstractNumId w:val="20"/>
  </w:num>
  <w:num w:numId="8">
    <w:abstractNumId w:val="1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34"/>
  </w:num>
  <w:num w:numId="14">
    <w:abstractNumId w:val="2"/>
  </w:num>
  <w:num w:numId="15">
    <w:abstractNumId w:val="7"/>
  </w:num>
  <w:num w:numId="16">
    <w:abstractNumId w:val="22"/>
  </w:num>
  <w:num w:numId="17">
    <w:abstractNumId w:val="6"/>
  </w:num>
  <w:num w:numId="18">
    <w:abstractNumId w:val="36"/>
  </w:num>
  <w:num w:numId="19">
    <w:abstractNumId w:val="0"/>
  </w:num>
  <w:num w:numId="20">
    <w:abstractNumId w:val="10"/>
  </w:num>
  <w:num w:numId="21">
    <w:abstractNumId w:val="19"/>
  </w:num>
  <w:num w:numId="22">
    <w:abstractNumId w:val="33"/>
  </w:num>
  <w:num w:numId="23">
    <w:abstractNumId w:val="9"/>
  </w:num>
  <w:num w:numId="24">
    <w:abstractNumId w:val="5"/>
  </w:num>
  <w:num w:numId="25">
    <w:abstractNumId w:val="8"/>
  </w:num>
  <w:num w:numId="26">
    <w:abstractNumId w:val="29"/>
  </w:num>
  <w:num w:numId="27">
    <w:abstractNumId w:val="27"/>
  </w:num>
  <w:num w:numId="28">
    <w:abstractNumId w:val="3"/>
  </w:num>
  <w:num w:numId="29">
    <w:abstractNumId w:val="35"/>
  </w:num>
  <w:num w:numId="30">
    <w:abstractNumId w:val="26"/>
  </w:num>
  <w:num w:numId="31">
    <w:abstractNumId w:val="24"/>
  </w:num>
  <w:num w:numId="32">
    <w:abstractNumId w:val="16"/>
  </w:num>
  <w:num w:numId="33">
    <w:abstractNumId w:val="30"/>
  </w:num>
  <w:num w:numId="34">
    <w:abstractNumId w:val="13"/>
  </w:num>
  <w:num w:numId="35">
    <w:abstractNumId w:val="31"/>
  </w:num>
  <w:num w:numId="36">
    <w:abstractNumId w:val="4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FA7"/>
    <w:rsid w:val="000030A7"/>
    <w:rsid w:val="000E2C07"/>
    <w:rsid w:val="00184772"/>
    <w:rsid w:val="001C756A"/>
    <w:rsid w:val="00241019"/>
    <w:rsid w:val="00270FCF"/>
    <w:rsid w:val="002D622C"/>
    <w:rsid w:val="00342568"/>
    <w:rsid w:val="003D3DA1"/>
    <w:rsid w:val="003F1FA7"/>
    <w:rsid w:val="003F5F15"/>
    <w:rsid w:val="005E5C71"/>
    <w:rsid w:val="00605DA7"/>
    <w:rsid w:val="00637636"/>
    <w:rsid w:val="006A4DF8"/>
    <w:rsid w:val="006B7715"/>
    <w:rsid w:val="006C788E"/>
    <w:rsid w:val="007F1E30"/>
    <w:rsid w:val="009061DA"/>
    <w:rsid w:val="009D3E40"/>
    <w:rsid w:val="00A67A5B"/>
    <w:rsid w:val="00AA36F9"/>
    <w:rsid w:val="00AC1518"/>
    <w:rsid w:val="00B20B7A"/>
    <w:rsid w:val="00B634A0"/>
    <w:rsid w:val="00BD71BE"/>
    <w:rsid w:val="00BE7E9C"/>
    <w:rsid w:val="00C87235"/>
    <w:rsid w:val="00CD5ED3"/>
    <w:rsid w:val="00D32378"/>
    <w:rsid w:val="00E620E4"/>
    <w:rsid w:val="00FD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D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Text1"/>
    <w:link w:val="10"/>
    <w:uiPriority w:val="99"/>
    <w:qFormat/>
    <w:rsid w:val="00CD5ED3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ED3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CD5ED3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4">
    <w:name w:val="heading 4"/>
    <w:basedOn w:val="a0"/>
    <w:link w:val="40"/>
    <w:uiPriority w:val="99"/>
    <w:qFormat/>
    <w:rsid w:val="00CD5ED3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5">
    <w:name w:val="heading 5"/>
    <w:basedOn w:val="a"/>
    <w:next w:val="a"/>
    <w:link w:val="50"/>
    <w:uiPriority w:val="99"/>
    <w:qFormat/>
    <w:rsid w:val="00CD5ED3"/>
    <w:pPr>
      <w:keepNext/>
      <w:spacing w:after="120"/>
      <w:jc w:val="both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D5ED3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ED3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CD5ED3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ED3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1">
    <w:name w:val="Text 1"/>
    <w:basedOn w:val="a"/>
    <w:uiPriority w:val="99"/>
    <w:rsid w:val="00CD5ED3"/>
    <w:pPr>
      <w:spacing w:after="240"/>
      <w:ind w:left="483"/>
      <w:jc w:val="both"/>
    </w:pPr>
    <w:rPr>
      <w:szCs w:val="20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CD5ED3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  <w:lang w:val="en-GB"/>
    </w:rPr>
  </w:style>
  <w:style w:type="character" w:customStyle="1" w:styleId="20">
    <w:name w:val="Заголовок 2 Знак"/>
    <w:basedOn w:val="a1"/>
    <w:link w:val="2"/>
    <w:uiPriority w:val="99"/>
    <w:rsid w:val="00CD5ED3"/>
    <w:rPr>
      <w:rFonts w:ascii="Tahoma-Bold" w:eastAsia="Times New Roman" w:hAnsi="Tahoma-Bold" w:cs="Times New Roman"/>
      <w:b/>
      <w:color w:val="FFFFFF"/>
      <w:sz w:val="28"/>
      <w:szCs w:val="20"/>
      <w:shd w:val="clear" w:color="auto" w:fill="B3B3B3"/>
      <w:lang w:val="en-GB"/>
    </w:rPr>
  </w:style>
  <w:style w:type="paragraph" w:styleId="a0">
    <w:name w:val="Normal Indent"/>
    <w:basedOn w:val="a"/>
    <w:uiPriority w:val="99"/>
    <w:rsid w:val="00CD5ED3"/>
    <w:pPr>
      <w:ind w:left="3240" w:hanging="360"/>
      <w:jc w:val="both"/>
    </w:pPr>
    <w:rPr>
      <w:szCs w:val="20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CD5ED3"/>
    <w:rPr>
      <w:rFonts w:ascii="Tahoma-Bold" w:eastAsia="Times New Roman" w:hAnsi="Tahoma-Bold" w:cs="Times New Roman"/>
      <w:b/>
      <w:color w:val="006699"/>
      <w:sz w:val="40"/>
      <w:szCs w:val="20"/>
      <w:lang w:val="en-GB"/>
    </w:rPr>
  </w:style>
  <w:style w:type="character" w:customStyle="1" w:styleId="40">
    <w:name w:val="Заголовок 4 Знак"/>
    <w:basedOn w:val="a1"/>
    <w:link w:val="4"/>
    <w:uiPriority w:val="99"/>
    <w:rsid w:val="00CD5ED3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9"/>
    <w:rsid w:val="00CD5ED3"/>
    <w:rPr>
      <w:rFonts w:ascii="Times New Roman" w:eastAsia="Times New Roman" w:hAnsi="Times New Roman" w:cs="Times New Roman"/>
      <w:b/>
      <w:i/>
      <w:iCs/>
      <w:sz w:val="24"/>
      <w:szCs w:val="24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rsid w:val="00CD5ED3"/>
    <w:rPr>
      <w:rFonts w:ascii="Arial" w:eastAsia="Times New Roman" w:hAnsi="Arial" w:cs="Times New Roman"/>
      <w:i/>
      <w:szCs w:val="20"/>
      <w:lang w:val="en-GB"/>
    </w:rPr>
  </w:style>
  <w:style w:type="character" w:customStyle="1" w:styleId="70">
    <w:name w:val="Заголовок 7 Знак"/>
    <w:basedOn w:val="a1"/>
    <w:link w:val="7"/>
    <w:uiPriority w:val="99"/>
    <w:rsid w:val="00CD5ED3"/>
    <w:rPr>
      <w:rFonts w:ascii="Times New Roman" w:eastAsia="Times New Roman" w:hAnsi="Times New Roman" w:cs="Arial"/>
      <w:b/>
      <w:bCs/>
      <w:i/>
      <w:iCs/>
      <w:sz w:val="24"/>
      <w:szCs w:val="24"/>
      <w:lang w:val="en-GB" w:eastAsia="en-GB"/>
    </w:rPr>
  </w:style>
  <w:style w:type="character" w:customStyle="1" w:styleId="80">
    <w:name w:val="Заголовок 8 Знак"/>
    <w:basedOn w:val="a1"/>
    <w:link w:val="8"/>
    <w:uiPriority w:val="99"/>
    <w:rsid w:val="00CD5ED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1"/>
    <w:link w:val="9"/>
    <w:uiPriority w:val="99"/>
    <w:rsid w:val="00CD5ED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2TexteItalic">
    <w:name w:val="2TexteItalic"/>
    <w:basedOn w:val="a"/>
    <w:uiPriority w:val="99"/>
    <w:rsid w:val="00CD5ED3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a"/>
    <w:uiPriority w:val="99"/>
    <w:rsid w:val="00CD5ED3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a4">
    <w:name w:val="header"/>
    <w:basedOn w:val="a"/>
    <w:link w:val="a5"/>
    <w:uiPriority w:val="99"/>
    <w:rsid w:val="00CD5ED3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a5">
    <w:name w:val="Верхній колонтитул Знак"/>
    <w:basedOn w:val="a1"/>
    <w:link w:val="a4"/>
    <w:uiPriority w:val="99"/>
    <w:rsid w:val="00CD5ED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1TexteParagraph">
    <w:name w:val="1TexteParagraphé"/>
    <w:basedOn w:val="a"/>
    <w:uiPriority w:val="99"/>
    <w:rsid w:val="00CD5ED3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a6">
    <w:name w:val="footer"/>
    <w:basedOn w:val="a"/>
    <w:link w:val="a7"/>
    <w:uiPriority w:val="99"/>
    <w:rsid w:val="00CD5ED3"/>
    <w:pPr>
      <w:tabs>
        <w:tab w:val="center" w:pos="4536"/>
        <w:tab w:val="right" w:pos="9072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CD5E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basedOn w:val="a1"/>
    <w:uiPriority w:val="99"/>
    <w:rsid w:val="00CD5ED3"/>
    <w:rPr>
      <w:rFonts w:cs="Times New Roman"/>
      <w:color w:val="0000FF"/>
      <w:u w:val="single"/>
    </w:rPr>
  </w:style>
  <w:style w:type="paragraph" w:customStyle="1" w:styleId="1Texte">
    <w:name w:val="1Texte"/>
    <w:basedOn w:val="a"/>
    <w:uiPriority w:val="99"/>
    <w:rsid w:val="00CD5ED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a9">
    <w:name w:val="footnote reference"/>
    <w:basedOn w:val="a1"/>
    <w:semiHidden/>
    <w:rsid w:val="00CD5ED3"/>
    <w:rPr>
      <w:rFonts w:cs="Times New Roman"/>
      <w:position w:val="6"/>
      <w:sz w:val="16"/>
    </w:rPr>
  </w:style>
  <w:style w:type="paragraph" w:styleId="aa">
    <w:name w:val="footnote text"/>
    <w:basedOn w:val="a"/>
    <w:link w:val="ab"/>
    <w:semiHidden/>
    <w:rsid w:val="00CD5ED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ab">
    <w:name w:val="Текст виноски Знак"/>
    <w:basedOn w:val="a1"/>
    <w:link w:val="aa"/>
    <w:semiHidden/>
    <w:rsid w:val="00CD5E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oint0">
    <w:name w:val="Point 0"/>
    <w:basedOn w:val="a"/>
    <w:uiPriority w:val="99"/>
    <w:rsid w:val="00CD5ED3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customStyle="1" w:styleId="ac">
    <w:name w:val="Текст примітки Знак"/>
    <w:basedOn w:val="a1"/>
    <w:link w:val="ad"/>
    <w:uiPriority w:val="99"/>
    <w:semiHidden/>
    <w:rsid w:val="00CD5ED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d">
    <w:name w:val="annotation text"/>
    <w:basedOn w:val="a"/>
    <w:link w:val="ac"/>
    <w:uiPriority w:val="99"/>
    <w:semiHidden/>
    <w:rsid w:val="00CD5ED3"/>
    <w:rPr>
      <w:sz w:val="20"/>
      <w:szCs w:val="20"/>
    </w:rPr>
  </w:style>
  <w:style w:type="character" w:customStyle="1" w:styleId="ae">
    <w:name w:val="Тема примітки Знак"/>
    <w:basedOn w:val="ac"/>
    <w:link w:val="af"/>
    <w:uiPriority w:val="99"/>
    <w:semiHidden/>
    <w:rsid w:val="00CD5ED3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rsid w:val="00CD5ED3"/>
    <w:rPr>
      <w:b/>
      <w:bCs/>
    </w:rPr>
  </w:style>
  <w:style w:type="character" w:customStyle="1" w:styleId="af0">
    <w:name w:val="Текст у виносці Знак"/>
    <w:basedOn w:val="a1"/>
    <w:link w:val="af1"/>
    <w:uiPriority w:val="99"/>
    <w:semiHidden/>
    <w:rsid w:val="00CD5ED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f1">
    <w:name w:val="Balloon Text"/>
    <w:basedOn w:val="a"/>
    <w:link w:val="af0"/>
    <w:uiPriority w:val="99"/>
    <w:semiHidden/>
    <w:rsid w:val="00CD5ED3"/>
    <w:rPr>
      <w:rFonts w:ascii="Tahoma" w:hAnsi="Tahoma" w:cs="Tahoma"/>
      <w:sz w:val="16"/>
      <w:szCs w:val="16"/>
    </w:rPr>
  </w:style>
  <w:style w:type="paragraph" w:customStyle="1" w:styleId="ListNumber1">
    <w:name w:val="List Number 1"/>
    <w:basedOn w:val="a"/>
    <w:uiPriority w:val="99"/>
    <w:rsid w:val="00CD5ED3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CD5ED3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22">
    <w:name w:val="Основний текст з відступом 2 Знак"/>
    <w:basedOn w:val="a1"/>
    <w:link w:val="21"/>
    <w:uiPriority w:val="99"/>
    <w:rsid w:val="00CD5ED3"/>
    <w:rPr>
      <w:rFonts w:ascii="Arial Narrow" w:eastAsia="Times New Roman" w:hAnsi="Arial Narrow" w:cs="Times New Roman"/>
      <w:sz w:val="28"/>
      <w:szCs w:val="20"/>
      <w:lang w:val="en-GB"/>
    </w:rPr>
  </w:style>
  <w:style w:type="paragraph" w:styleId="af2">
    <w:name w:val="Block Text"/>
    <w:basedOn w:val="a"/>
    <w:uiPriority w:val="99"/>
    <w:rsid w:val="00CD5ED3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a"/>
    <w:uiPriority w:val="99"/>
    <w:rsid w:val="00CD5ED3"/>
    <w:pPr>
      <w:jc w:val="both"/>
    </w:pPr>
    <w:rPr>
      <w:sz w:val="20"/>
      <w:szCs w:val="20"/>
      <w:lang w:eastAsia="en-US"/>
    </w:rPr>
  </w:style>
  <w:style w:type="paragraph" w:styleId="31">
    <w:name w:val="Body Text 3"/>
    <w:basedOn w:val="a"/>
    <w:link w:val="32"/>
    <w:uiPriority w:val="99"/>
    <w:rsid w:val="00CD5ED3"/>
    <w:rPr>
      <w:rFonts w:ascii="Arial Narrow" w:hAnsi="Arial Narrow"/>
      <w:sz w:val="16"/>
      <w:szCs w:val="20"/>
      <w:lang w:val="fr-FR" w:eastAsia="en-US"/>
    </w:rPr>
  </w:style>
  <w:style w:type="character" w:customStyle="1" w:styleId="32">
    <w:name w:val="Основний текст 3 Знак"/>
    <w:basedOn w:val="a1"/>
    <w:link w:val="31"/>
    <w:uiPriority w:val="99"/>
    <w:rsid w:val="00CD5ED3"/>
    <w:rPr>
      <w:rFonts w:ascii="Arial Narrow" w:eastAsia="Times New Roman" w:hAnsi="Arial Narrow" w:cs="Times New Roman"/>
      <w:sz w:val="16"/>
      <w:szCs w:val="20"/>
      <w:lang w:val="fr-FR"/>
    </w:rPr>
  </w:style>
  <w:style w:type="paragraph" w:customStyle="1" w:styleId="Text3">
    <w:name w:val="Text 3"/>
    <w:basedOn w:val="a"/>
    <w:uiPriority w:val="99"/>
    <w:rsid w:val="00CD5ED3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af3">
    <w:name w:val="Body Text"/>
    <w:basedOn w:val="a"/>
    <w:link w:val="af4"/>
    <w:uiPriority w:val="99"/>
    <w:rsid w:val="00CD5ED3"/>
    <w:pPr>
      <w:spacing w:after="120"/>
    </w:pPr>
    <w:rPr>
      <w:sz w:val="20"/>
      <w:szCs w:val="20"/>
      <w:lang w:eastAsia="en-US"/>
    </w:rPr>
  </w:style>
  <w:style w:type="character" w:customStyle="1" w:styleId="af4">
    <w:name w:val="Основний текст Знак"/>
    <w:basedOn w:val="a1"/>
    <w:link w:val="af3"/>
    <w:uiPriority w:val="99"/>
    <w:rsid w:val="00CD5E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">
    <w:name w:val="table text"/>
    <w:basedOn w:val="a"/>
    <w:uiPriority w:val="99"/>
    <w:rsid w:val="00CD5ED3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af5">
    <w:name w:val="Body Text Indent"/>
    <w:basedOn w:val="a"/>
    <w:link w:val="af6"/>
    <w:uiPriority w:val="99"/>
    <w:rsid w:val="00CD5ED3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af6">
    <w:name w:val="Основний текст з відступом Знак"/>
    <w:basedOn w:val="a1"/>
    <w:link w:val="af5"/>
    <w:uiPriority w:val="99"/>
    <w:rsid w:val="00CD5ED3"/>
    <w:rPr>
      <w:rFonts w:ascii="Arial" w:eastAsia="Times New Roman" w:hAnsi="Arial" w:cs="Times New Roman"/>
      <w:color w:val="000000"/>
      <w:sz w:val="18"/>
      <w:szCs w:val="20"/>
      <w:lang w:val="en-US"/>
    </w:rPr>
  </w:style>
  <w:style w:type="paragraph" w:styleId="23">
    <w:name w:val="Body Text 2"/>
    <w:basedOn w:val="a"/>
    <w:link w:val="24"/>
    <w:uiPriority w:val="99"/>
    <w:rsid w:val="00CD5ED3"/>
    <w:rPr>
      <w:rFonts w:ascii="Arial Narrow" w:hAnsi="Arial Narrow"/>
      <w:sz w:val="18"/>
      <w:szCs w:val="20"/>
      <w:lang w:eastAsia="en-US"/>
    </w:rPr>
  </w:style>
  <w:style w:type="character" w:customStyle="1" w:styleId="24">
    <w:name w:val="Основний текст 2 Знак"/>
    <w:basedOn w:val="a1"/>
    <w:link w:val="23"/>
    <w:uiPriority w:val="99"/>
    <w:rsid w:val="00CD5ED3"/>
    <w:rPr>
      <w:rFonts w:ascii="Arial Narrow" w:eastAsia="Times New Roman" w:hAnsi="Arial Narrow" w:cs="Times New Roman"/>
      <w:sz w:val="18"/>
      <w:szCs w:val="20"/>
      <w:lang w:val="en-GB"/>
    </w:rPr>
  </w:style>
  <w:style w:type="paragraph" w:customStyle="1" w:styleId="ind1">
    <w:name w:val="ind1"/>
    <w:basedOn w:val="a"/>
    <w:uiPriority w:val="99"/>
    <w:rsid w:val="00CD5ED3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af7">
    <w:name w:val="List"/>
    <w:basedOn w:val="a"/>
    <w:uiPriority w:val="99"/>
    <w:rsid w:val="00CD5ED3"/>
    <w:pPr>
      <w:ind w:left="360" w:hanging="360"/>
    </w:pPr>
    <w:rPr>
      <w:sz w:val="20"/>
      <w:szCs w:val="20"/>
      <w:lang w:eastAsia="en-US"/>
    </w:rPr>
  </w:style>
  <w:style w:type="paragraph" w:styleId="af8">
    <w:name w:val="List Bullet"/>
    <w:basedOn w:val="a"/>
    <w:autoRedefine/>
    <w:uiPriority w:val="99"/>
    <w:rsid w:val="00CD5ED3"/>
    <w:pPr>
      <w:spacing w:before="120" w:after="120"/>
      <w:ind w:left="567" w:hanging="567"/>
      <w:contextualSpacing/>
    </w:pPr>
    <w:rPr>
      <w:rFonts w:ascii="Tahoma" w:hAnsi="Tahoma" w:cs="Tahoma"/>
      <w:sz w:val="20"/>
      <w:szCs w:val="20"/>
      <w:lang w:eastAsia="en-US"/>
    </w:rPr>
  </w:style>
  <w:style w:type="paragraph" w:customStyle="1" w:styleId="DefaultParagraphFont2">
    <w:name w:val="Default Paragraph Font2"/>
    <w:next w:val="a"/>
    <w:uiPriority w:val="99"/>
    <w:rsid w:val="00CD5ED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uiPriority w:val="99"/>
    <w:rsid w:val="00CD5ED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/>
    </w:rPr>
  </w:style>
  <w:style w:type="character" w:styleId="af9">
    <w:name w:val="page number"/>
    <w:basedOn w:val="a1"/>
    <w:uiPriority w:val="99"/>
    <w:rsid w:val="00CD5ED3"/>
    <w:rPr>
      <w:rFonts w:cs="Times New Roman"/>
    </w:rPr>
  </w:style>
  <w:style w:type="paragraph" w:styleId="33">
    <w:name w:val="Body Text Indent 3"/>
    <w:basedOn w:val="a"/>
    <w:link w:val="34"/>
    <w:uiPriority w:val="99"/>
    <w:rsid w:val="00CD5ED3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34">
    <w:name w:val="Основний текст з відступом 3 Знак"/>
    <w:basedOn w:val="a1"/>
    <w:link w:val="33"/>
    <w:uiPriority w:val="99"/>
    <w:rsid w:val="00CD5ED3"/>
    <w:rPr>
      <w:rFonts w:ascii="Arial Narrow" w:eastAsia="Times New Roman" w:hAnsi="Arial Narrow" w:cs="Times New Roman"/>
      <w:sz w:val="20"/>
      <w:szCs w:val="20"/>
      <w:lang w:val="en-GB"/>
    </w:rPr>
  </w:style>
  <w:style w:type="paragraph" w:customStyle="1" w:styleId="Blockquote">
    <w:name w:val="Blockquote"/>
    <w:basedOn w:val="a"/>
    <w:uiPriority w:val="99"/>
    <w:rsid w:val="00CD5ED3"/>
    <w:pPr>
      <w:spacing w:before="100" w:after="100"/>
      <w:ind w:left="360" w:right="360"/>
    </w:pPr>
    <w:rPr>
      <w:szCs w:val="20"/>
      <w:lang w:eastAsia="en-US"/>
    </w:rPr>
  </w:style>
  <w:style w:type="table" w:styleId="afa">
    <w:name w:val="Table Grid"/>
    <w:basedOn w:val="a2"/>
    <w:uiPriority w:val="59"/>
    <w:rsid w:val="00CD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a"/>
    <w:link w:val="Text2Char"/>
    <w:uiPriority w:val="99"/>
    <w:rsid w:val="00CD5ED3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a1"/>
    <w:link w:val="Text2"/>
    <w:uiPriority w:val="99"/>
    <w:locked/>
    <w:rsid w:val="00CD5ED3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AntragFT">
    <w:name w:val="Antrag FT"/>
    <w:uiPriority w:val="99"/>
    <w:rsid w:val="00CD5ED3"/>
    <w:pPr>
      <w:tabs>
        <w:tab w:val="left" w:pos="3402"/>
        <w:tab w:val="left" w:pos="5103"/>
        <w:tab w:val="left" w:pos="6804"/>
        <w:tab w:val="left" w:pos="8505"/>
      </w:tabs>
      <w:spacing w:before="40" w:after="0" w:line="240" w:lineRule="auto"/>
    </w:pPr>
    <w:rPr>
      <w:rFonts w:ascii="Arial" w:eastAsia="Times New Roman" w:hAnsi="Arial" w:cs="Times New Roman"/>
      <w:spacing w:val="4"/>
      <w:sz w:val="18"/>
      <w:szCs w:val="20"/>
      <w:lang w:val="en-GB"/>
    </w:rPr>
  </w:style>
  <w:style w:type="character" w:styleId="afb">
    <w:name w:val="FollowedHyperlink"/>
    <w:basedOn w:val="a1"/>
    <w:uiPriority w:val="99"/>
    <w:rsid w:val="00CD5ED3"/>
    <w:rPr>
      <w:rFonts w:cs="Times New Roman"/>
      <w:color w:val="800080"/>
      <w:u w:val="single"/>
    </w:rPr>
  </w:style>
  <w:style w:type="paragraph" w:styleId="25">
    <w:name w:val="List Bullet 2"/>
    <w:basedOn w:val="Text2"/>
    <w:autoRedefine/>
    <w:uiPriority w:val="99"/>
    <w:rsid w:val="00CD5ED3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35">
    <w:name w:val="List Number 3"/>
    <w:basedOn w:val="a"/>
    <w:uiPriority w:val="99"/>
    <w:rsid w:val="00CD5ED3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CD5ED3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CD5ED3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CD5ED3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a"/>
    <w:uiPriority w:val="99"/>
    <w:rsid w:val="00CD5ED3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a"/>
    <w:uiPriority w:val="99"/>
    <w:rsid w:val="00CD5ED3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a"/>
    <w:uiPriority w:val="99"/>
    <w:rsid w:val="00CD5ED3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a"/>
    <w:uiPriority w:val="99"/>
    <w:rsid w:val="00CD5ED3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a"/>
    <w:uiPriority w:val="99"/>
    <w:rsid w:val="00CD5ED3"/>
    <w:rPr>
      <w:noProof/>
      <w:szCs w:val="20"/>
    </w:rPr>
  </w:style>
  <w:style w:type="paragraph" w:customStyle="1" w:styleId="AddressTL">
    <w:name w:val="AddressTL"/>
    <w:basedOn w:val="a"/>
    <w:next w:val="a"/>
    <w:uiPriority w:val="99"/>
    <w:rsid w:val="00CD5ED3"/>
    <w:pPr>
      <w:spacing w:after="720"/>
    </w:pPr>
    <w:rPr>
      <w:noProof/>
      <w:szCs w:val="20"/>
    </w:rPr>
  </w:style>
  <w:style w:type="paragraph" w:customStyle="1" w:styleId="AddressTR">
    <w:name w:val="AddressTR"/>
    <w:basedOn w:val="a"/>
    <w:next w:val="a"/>
    <w:uiPriority w:val="99"/>
    <w:rsid w:val="00CD5ED3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4"/>
    <w:next w:val="Text4"/>
    <w:uiPriority w:val="99"/>
    <w:rsid w:val="00CD5ED3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afc">
    <w:name w:val="Closing"/>
    <w:basedOn w:val="a"/>
    <w:next w:val="afd"/>
    <w:link w:val="afe"/>
    <w:uiPriority w:val="99"/>
    <w:rsid w:val="00CD5ED3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paragraph" w:styleId="afd">
    <w:name w:val="Signature"/>
    <w:basedOn w:val="a"/>
    <w:next w:val="Enclosures"/>
    <w:link w:val="aff"/>
    <w:uiPriority w:val="99"/>
    <w:rsid w:val="00CD5ED3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paragraph" w:customStyle="1" w:styleId="Enclosures">
    <w:name w:val="Enclosures"/>
    <w:basedOn w:val="a"/>
    <w:next w:val="Participants"/>
    <w:uiPriority w:val="99"/>
    <w:rsid w:val="00CD5ED3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a"/>
    <w:next w:val="Copies"/>
    <w:uiPriority w:val="99"/>
    <w:rsid w:val="00CD5ED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a"/>
    <w:next w:val="a"/>
    <w:uiPriority w:val="99"/>
    <w:rsid w:val="00CD5ED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character" w:customStyle="1" w:styleId="aff">
    <w:name w:val="Підпис Знак"/>
    <w:basedOn w:val="a1"/>
    <w:link w:val="afd"/>
    <w:uiPriority w:val="99"/>
    <w:rsid w:val="00CD5ED3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afe">
    <w:name w:val="Прощання Знак"/>
    <w:basedOn w:val="a1"/>
    <w:link w:val="afc"/>
    <w:uiPriority w:val="99"/>
    <w:rsid w:val="00CD5ED3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aff0">
    <w:name w:val="Date"/>
    <w:basedOn w:val="a"/>
    <w:next w:val="References"/>
    <w:link w:val="aff1"/>
    <w:uiPriority w:val="99"/>
    <w:rsid w:val="00CD5ED3"/>
    <w:pPr>
      <w:ind w:left="5103" w:right="-567"/>
    </w:pPr>
    <w:rPr>
      <w:noProof/>
      <w:szCs w:val="20"/>
    </w:rPr>
  </w:style>
  <w:style w:type="paragraph" w:customStyle="1" w:styleId="References">
    <w:name w:val="References"/>
    <w:basedOn w:val="a"/>
    <w:next w:val="AddressTR"/>
    <w:uiPriority w:val="99"/>
    <w:rsid w:val="00CD5ED3"/>
    <w:pPr>
      <w:spacing w:after="240"/>
      <w:ind w:left="5103"/>
    </w:pPr>
    <w:rPr>
      <w:noProof/>
      <w:sz w:val="20"/>
      <w:szCs w:val="20"/>
    </w:rPr>
  </w:style>
  <w:style w:type="character" w:customStyle="1" w:styleId="aff1">
    <w:name w:val="Дата Знак"/>
    <w:basedOn w:val="a1"/>
    <w:link w:val="aff0"/>
    <w:uiPriority w:val="99"/>
    <w:rsid w:val="00CD5ED3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customStyle="1" w:styleId="DoubSign">
    <w:name w:val="DoubSign"/>
    <w:basedOn w:val="a"/>
    <w:next w:val="Enclosures"/>
    <w:uiPriority w:val="99"/>
    <w:rsid w:val="00CD5ED3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a"/>
    <w:next w:val="Subject"/>
    <w:uiPriority w:val="99"/>
    <w:rsid w:val="00CD5ED3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a"/>
    <w:next w:val="a"/>
    <w:uiPriority w:val="99"/>
    <w:rsid w:val="00CD5ED3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a"/>
    <w:next w:val="Subject"/>
    <w:uiPriority w:val="99"/>
    <w:rsid w:val="00CD5ED3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1"/>
    <w:next w:val="Text1"/>
    <w:uiPriority w:val="99"/>
    <w:rsid w:val="00CD5ED3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2"/>
    <w:next w:val="Text2"/>
    <w:uiPriority w:val="99"/>
    <w:rsid w:val="00CD5ED3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3"/>
    <w:next w:val="Text3"/>
    <w:uiPriority w:val="99"/>
    <w:rsid w:val="00CD5ED3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a"/>
    <w:next w:val="a"/>
    <w:uiPriority w:val="99"/>
    <w:rsid w:val="00CD5ED3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a"/>
    <w:next w:val="ZDGName"/>
    <w:uiPriority w:val="99"/>
    <w:rsid w:val="00CD5ED3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a"/>
    <w:uiPriority w:val="99"/>
    <w:rsid w:val="00CD5ED3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aff2">
    <w:name w:val="Strong"/>
    <w:basedOn w:val="a1"/>
    <w:qFormat/>
    <w:rsid w:val="00CD5ED3"/>
    <w:rPr>
      <w:rFonts w:cs="Times New Roman"/>
      <w:b/>
    </w:rPr>
  </w:style>
  <w:style w:type="paragraph" w:customStyle="1" w:styleId="Contact">
    <w:name w:val="Contact"/>
    <w:basedOn w:val="a"/>
    <w:next w:val="Enclosures"/>
    <w:uiPriority w:val="99"/>
    <w:rsid w:val="00CD5ED3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CD5ED3"/>
    <w:pPr>
      <w:tabs>
        <w:tab w:val="num" w:pos="720"/>
      </w:tabs>
      <w:ind w:left="720" w:hanging="360"/>
    </w:pPr>
    <w:rPr>
      <w:noProof/>
      <w:lang w:eastAsia="en-GB"/>
    </w:rPr>
  </w:style>
  <w:style w:type="paragraph" w:styleId="36">
    <w:name w:val="List Bullet 3"/>
    <w:basedOn w:val="Text3"/>
    <w:uiPriority w:val="99"/>
    <w:rsid w:val="00CD5ED3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41">
    <w:name w:val="List Bullet 4"/>
    <w:basedOn w:val="Text4"/>
    <w:uiPriority w:val="99"/>
    <w:rsid w:val="00CD5ED3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a"/>
    <w:uiPriority w:val="99"/>
    <w:rsid w:val="00CD5ED3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CD5ED3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CD5ED3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CD5ED3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CD5ED3"/>
    <w:pPr>
      <w:tabs>
        <w:tab w:val="num" w:pos="3163"/>
      </w:tabs>
      <w:ind w:left="3163" w:hanging="283"/>
    </w:pPr>
  </w:style>
  <w:style w:type="paragraph" w:styleId="aff3">
    <w:name w:val="List Number"/>
    <w:basedOn w:val="a"/>
    <w:uiPriority w:val="99"/>
    <w:rsid w:val="00CD5ED3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26">
    <w:name w:val="List Number 2"/>
    <w:basedOn w:val="Text2"/>
    <w:uiPriority w:val="99"/>
    <w:rsid w:val="00CD5ED3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42">
    <w:name w:val="List Number 4"/>
    <w:basedOn w:val="Text4"/>
    <w:uiPriority w:val="99"/>
    <w:rsid w:val="00CD5ED3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a"/>
    <w:uiPriority w:val="99"/>
    <w:rsid w:val="00CD5ED3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CD5ED3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CD5ED3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a"/>
    <w:uiPriority w:val="99"/>
    <w:rsid w:val="00CD5ED3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CD5ED3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CD5ED3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a"/>
    <w:uiPriority w:val="99"/>
    <w:rsid w:val="00CD5ED3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CD5ED3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CD5ED3"/>
    <w:pPr>
      <w:tabs>
        <w:tab w:val="num" w:pos="5715"/>
      </w:tabs>
      <w:ind w:left="5715" w:hanging="709"/>
    </w:pPr>
  </w:style>
  <w:style w:type="paragraph" w:styleId="aff4">
    <w:name w:val="TOC Heading"/>
    <w:basedOn w:val="a"/>
    <w:next w:val="a"/>
    <w:uiPriority w:val="99"/>
    <w:qFormat/>
    <w:rsid w:val="00CD5ED3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a"/>
    <w:uiPriority w:val="99"/>
    <w:rsid w:val="00CD5ED3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CD5ED3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CD5ED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a"/>
    <w:uiPriority w:val="99"/>
    <w:rsid w:val="00CD5ED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a"/>
    <w:link w:val="NormalH3Char"/>
    <w:uiPriority w:val="99"/>
    <w:rsid w:val="00CD5ED3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a1"/>
    <w:link w:val="NormalH3"/>
    <w:uiPriority w:val="99"/>
    <w:locked/>
    <w:rsid w:val="00CD5ED3"/>
    <w:rPr>
      <w:rFonts w:ascii="Times New Roman" w:eastAsia="Times New Roman" w:hAnsi="Times New Roman" w:cs="Times New Roman"/>
      <w:noProof/>
      <w:sz w:val="24"/>
      <w:szCs w:val="24"/>
      <w:lang w:val="en-US" w:eastAsia="en-GB"/>
    </w:rPr>
  </w:style>
  <w:style w:type="paragraph" w:styleId="aff5">
    <w:name w:val="Normal (Web)"/>
    <w:basedOn w:val="a"/>
    <w:uiPriority w:val="99"/>
    <w:rsid w:val="00CD5ED3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D5ED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a1"/>
    <w:uiPriority w:val="99"/>
    <w:locked/>
    <w:rsid w:val="00CD5ED3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uiPriority w:val="99"/>
    <w:rsid w:val="00CD5ED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CD5ED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styleId="aff6">
    <w:name w:val="Subtitle"/>
    <w:basedOn w:val="a"/>
    <w:link w:val="aff7"/>
    <w:uiPriority w:val="99"/>
    <w:qFormat/>
    <w:rsid w:val="00CD5ED3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aff7">
    <w:name w:val="Підзаголовок Знак"/>
    <w:basedOn w:val="a1"/>
    <w:link w:val="aff6"/>
    <w:uiPriority w:val="99"/>
    <w:rsid w:val="00CD5ED3"/>
    <w:rPr>
      <w:rFonts w:ascii="Verdana" w:eastAsia="Times New Roman" w:hAnsi="Verdana" w:cs="Times New Roman"/>
      <w:i/>
      <w:sz w:val="24"/>
      <w:szCs w:val="20"/>
      <w:lang w:val="en-GB"/>
    </w:rPr>
  </w:style>
  <w:style w:type="character" w:customStyle="1" w:styleId="aff8">
    <w:name w:val="Схема документа Знак"/>
    <w:basedOn w:val="a1"/>
    <w:link w:val="aff9"/>
    <w:uiPriority w:val="99"/>
    <w:semiHidden/>
    <w:rsid w:val="00CD5ED3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styleId="aff9">
    <w:name w:val="Document Map"/>
    <w:basedOn w:val="a"/>
    <w:link w:val="aff8"/>
    <w:uiPriority w:val="99"/>
    <w:semiHidden/>
    <w:rsid w:val="00CD5E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level2">
    <w:name w:val="Heading level 2"/>
    <w:basedOn w:val="a"/>
    <w:uiPriority w:val="99"/>
    <w:rsid w:val="00CD5ED3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affa">
    <w:name w:val="List Paragraph"/>
    <w:basedOn w:val="a"/>
    <w:uiPriority w:val="34"/>
    <w:qFormat/>
    <w:rsid w:val="00CD5ED3"/>
    <w:pPr>
      <w:ind w:left="720"/>
    </w:pPr>
  </w:style>
  <w:style w:type="paragraph" w:customStyle="1" w:styleId="texte">
    <w:name w:val="texte"/>
    <w:basedOn w:val="a"/>
    <w:rsid w:val="00CD5ED3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character" w:customStyle="1" w:styleId="affb">
    <w:name w:val="Текст Знак"/>
    <w:basedOn w:val="a1"/>
    <w:link w:val="affc"/>
    <w:uiPriority w:val="99"/>
    <w:semiHidden/>
    <w:rsid w:val="00CD5ED3"/>
    <w:rPr>
      <w:rFonts w:ascii="Consolas" w:eastAsia="Calibri" w:hAnsi="Consolas" w:cs="Times New Roman"/>
      <w:sz w:val="21"/>
      <w:szCs w:val="21"/>
      <w:lang w:val="fr-BE"/>
    </w:rPr>
  </w:style>
  <w:style w:type="paragraph" w:styleId="affc">
    <w:name w:val="Plain Text"/>
    <w:basedOn w:val="a"/>
    <w:link w:val="affb"/>
    <w:uiPriority w:val="99"/>
    <w:semiHidden/>
    <w:unhideWhenUsed/>
    <w:rsid w:val="00CD5ED3"/>
    <w:rPr>
      <w:rFonts w:ascii="Consolas" w:eastAsia="Calibri" w:hAnsi="Consolas"/>
      <w:sz w:val="21"/>
      <w:szCs w:val="21"/>
      <w:lang w:val="fr-BE" w:eastAsia="en-US"/>
    </w:rPr>
  </w:style>
  <w:style w:type="paragraph" w:customStyle="1" w:styleId="tabletext0">
    <w:name w:val="tabletext"/>
    <w:basedOn w:val="a"/>
    <w:rsid w:val="00CD5ED3"/>
    <w:pPr>
      <w:spacing w:before="100" w:beforeAutospacing="1" w:after="100" w:afterAutospacing="1"/>
    </w:pPr>
  </w:style>
  <w:style w:type="character" w:styleId="affd">
    <w:name w:val="Emphasis"/>
    <w:qFormat/>
    <w:rsid w:val="00CD5ED3"/>
    <w:rPr>
      <w:i/>
      <w:iCs/>
    </w:rPr>
  </w:style>
  <w:style w:type="character" w:customStyle="1" w:styleId="st">
    <w:name w:val="st"/>
    <w:basedOn w:val="a1"/>
    <w:rsid w:val="00CD5ED3"/>
  </w:style>
  <w:style w:type="character" w:customStyle="1" w:styleId="gt-baf-word-clickable">
    <w:name w:val="gt-baf-word-clickable"/>
    <w:basedOn w:val="a1"/>
    <w:rsid w:val="00CD5ED3"/>
  </w:style>
  <w:style w:type="character" w:customStyle="1" w:styleId="hps">
    <w:name w:val="hps"/>
    <w:basedOn w:val="a1"/>
    <w:rsid w:val="00CD5ED3"/>
  </w:style>
  <w:style w:type="character" w:customStyle="1" w:styleId="shorttext">
    <w:name w:val="short_text"/>
    <w:basedOn w:val="a1"/>
    <w:rsid w:val="00CD5ED3"/>
  </w:style>
  <w:style w:type="character" w:customStyle="1" w:styleId="hpsatn">
    <w:name w:val="hps atn"/>
    <w:basedOn w:val="a1"/>
    <w:rsid w:val="00CD5ED3"/>
  </w:style>
  <w:style w:type="character" w:customStyle="1" w:styleId="apple-converted-space">
    <w:name w:val="apple-converted-space"/>
    <w:basedOn w:val="a1"/>
    <w:rsid w:val="00CD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2017-10-06T06:48:00Z</dcterms:created>
  <dcterms:modified xsi:type="dcterms:W3CDTF">2017-10-06T08:50:00Z</dcterms:modified>
</cp:coreProperties>
</file>